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Georgia" w:hAnsi="Georgia"/>
          <w:b/>
          <w:color w:val="161616"/>
          <w:sz w:val="52"/>
        </w:rPr>
        <w:t>Side-Path Emails - Applied</w:t>
      </w:r>
    </w:p>
    <w:p>
      <w:pPr>
        <w:spacing w:after="240"/>
        <w:jc w:val="center"/>
      </w:pPr>
      <w:r>
        <w:rPr>
          <w:color w:val="5B544B"/>
          <w:sz w:val="24"/>
        </w:rPr>
        <w:t>A companion resource for Lesson 7</w:t>
      </w:r>
    </w:p>
    <w:tbl>
      <w:tblPr>
        <w:tblW w:type="auto" w:w="0"/>
        <w:jc w:val="center"/>
        <w:tblLook w:firstColumn="1" w:firstRow="1" w:lastColumn="0" w:lastRow="0" w:noHBand="0" w:noVBand="1" w:val="04A0"/>
      </w:tblPr>
      <w:tblGrid>
        <w:gridCol w:w="10080"/>
      </w:tblGrid>
      <w:tr>
        <w:tc>
          <w:tcPr>
            <w:tcW w:type="dxa" w:w="10080"/>
            <w:shd w:fill="FAF7F1"/>
            <w:tcBorders>
              <w:top w:sz="8" w:val="single" w:color="E2C29D"/>
              <w:left w:sz="8" w:val="single" w:color="E2C29D"/>
              <w:bottom w:sz="8" w:val="single" w:color="E2C29D"/>
              <w:right w:sz="8" w:val="single" w:color="E2C29D"/>
            </w:tcBorders>
            <w:tcMar>
              <w:top w:w="140" w:type="dxa"/>
              <w:start w:w="160" w:type="dxa"/>
              <w:bottom w:w="140" w:type="dxa"/>
              <w:end w:w="160" w:type="dxa"/>
            </w:tcMar>
          </w:tcPr>
          <w:p>
            <w:pPr>
              <w:spacing w:after="80"/>
            </w:pPr>
            <w:r>
              <w:rPr>
                <w:b/>
                <w:color w:val="161616"/>
                <w:sz w:val="22"/>
              </w:rPr>
              <w:t>Purpose of this resource</w:t>
            </w:r>
          </w:p>
          <w:p>
            <w:pPr>
              <w:spacing w:after="0"/>
            </w:pPr>
            <w:r>
              <w:rPr>
                <w:color w:val="1F1F1F"/>
                <w:sz w:val="21"/>
              </w:rPr>
              <w:t>Use this guide to turn interesting side notes, removed material, research discoveries, and supporting details into reader emails without overloading the book itself.</w:t>
            </w:r>
          </w:p>
        </w:tc>
      </w:tr>
    </w:tbl>
    <w:p/>
    <w:p>
      <w:pPr>
        <w:pStyle w:val="Heading1"/>
      </w:pPr>
      <w:r>
        <w:t>What Is a Side-Path Email?</w:t>
      </w:r>
    </w:p>
    <w:p>
      <w:r>
        <w:t>A side-path email shares an interesting idea that connects to the book but does not need to become a main section of the manuscript. It might come from research notes, a paragraph you removed, a small historical or cultural detail, a translation observation, a personal discovery, or a supporting thought that helped you understand the topic more clearly.</w:t>
      </w:r>
    </w:p>
    <w:p>
      <w:r>
        <w:t>These emails are useful because they let the book stay focused while still giving readers a sense of the richness around the subject. Instead of forcing every good idea into the manuscript, you can save some of those smaller discoveries for thoughtful reader communication.</w:t>
      </w:r>
    </w:p>
    <w:p>
      <w:pPr>
        <w:pStyle w:val="Heading1"/>
      </w:pPr>
      <w:r>
        <w:t>When to Use This Email Type</w:t>
      </w:r>
    </w:p>
    <w:tbl>
      <w:tblPr>
        <w:tblStyle w:val="TableGrid"/>
        <w:tblW w:type="auto" w:w="0"/>
        <w:jc w:val="center"/>
        <w:tblLook w:firstColumn="1" w:firstRow="1" w:lastColumn="0" w:lastRow="0" w:noHBand="0" w:noVBand="1" w:val="04A0"/>
      </w:tblPr>
      <w:tblGrid>
        <w:gridCol w:w="5040"/>
        <w:gridCol w:w="5040"/>
      </w:tblGrid>
      <w:tr>
        <w:tc>
          <w:tcPr>
            <w:tcW w:type="dxa" w:w="3456"/>
            <w:shd w:fill="161616"/>
            <w:tcMar>
              <w:top w:w="80" w:type="dxa"/>
              <w:start w:w="80" w:type="dxa"/>
              <w:bottom w:w="80" w:type="dxa"/>
              <w:end w:w="80" w:type="dxa"/>
            </w:tcMar>
          </w:tcPr>
          <w:p>
            <w:r>
              <w:rPr>
                <w:b/>
                <w:color w:val="FFFFFF"/>
                <w:sz w:val="19"/>
              </w:rPr>
              <w:t>Situation</w:t>
            </w:r>
          </w:p>
        </w:tc>
        <w:tc>
          <w:tcPr>
            <w:tcW w:type="dxa" w:w="6624"/>
            <w:shd w:fill="161616"/>
            <w:tcMar>
              <w:top w:w="80" w:type="dxa"/>
              <w:start w:w="80" w:type="dxa"/>
              <w:bottom w:w="80" w:type="dxa"/>
              <w:end w:w="80" w:type="dxa"/>
            </w:tcMar>
          </w:tcPr>
          <w:p>
            <w:r>
              <w:rPr>
                <w:b/>
                <w:color w:val="FFFFFF"/>
                <w:sz w:val="19"/>
              </w:rPr>
              <w:t>How to Use It</w:t>
            </w:r>
          </w:p>
        </w:tc>
      </w:tr>
      <w:tr>
        <w:tc>
          <w:tcPr>
            <w:tcW w:type="dxa" w:w="3456"/>
            <w:tcMar>
              <w:top w:w="70" w:type="dxa"/>
              <w:start w:w="80" w:type="dxa"/>
              <w:bottom w:w="70" w:type="dxa"/>
              <w:end w:w="80" w:type="dxa"/>
            </w:tcMar>
          </w:tcPr>
          <w:p>
            <w:pPr>
              <w:spacing w:after="0"/>
            </w:pPr>
            <w:r>
              <w:rPr>
                <w:color w:val="1F1F1F"/>
                <w:sz w:val="19"/>
              </w:rPr>
              <w:t>A detail is interesting but not central</w:t>
            </w:r>
          </w:p>
        </w:tc>
        <w:tc>
          <w:tcPr>
            <w:tcW w:type="dxa" w:w="6624"/>
            <w:tcMar>
              <w:top w:w="70" w:type="dxa"/>
              <w:start w:w="80" w:type="dxa"/>
              <w:bottom w:w="70" w:type="dxa"/>
              <w:end w:w="80" w:type="dxa"/>
            </w:tcMar>
          </w:tcPr>
          <w:p>
            <w:pPr>
              <w:spacing w:after="0"/>
            </w:pPr>
            <w:r>
              <w:rPr>
                <w:color w:val="1F1F1F"/>
                <w:sz w:val="19"/>
              </w:rPr>
              <w:t>Use it as a short email instead of adding another section to the chapter.</w:t>
            </w:r>
          </w:p>
        </w:tc>
      </w:tr>
      <w:tr>
        <w:tc>
          <w:tcPr>
            <w:tcW w:type="dxa" w:w="3456"/>
            <w:tcMar>
              <w:top w:w="70" w:type="dxa"/>
              <w:start w:w="80" w:type="dxa"/>
              <w:bottom w:w="70" w:type="dxa"/>
              <w:end w:w="80" w:type="dxa"/>
            </w:tcMar>
          </w:tcPr>
          <w:p>
            <w:pPr>
              <w:spacing w:after="0"/>
            </w:pPr>
            <w:r>
              <w:rPr>
                <w:color w:val="1F1F1F"/>
                <w:sz w:val="19"/>
              </w:rPr>
              <w:t>A paragraph slows down the manuscript</w:t>
            </w:r>
          </w:p>
        </w:tc>
        <w:tc>
          <w:tcPr>
            <w:tcW w:type="dxa" w:w="6624"/>
            <w:tcMar>
              <w:top w:w="70" w:type="dxa"/>
              <w:start w:w="80" w:type="dxa"/>
              <w:bottom w:w="70" w:type="dxa"/>
              <w:end w:w="80" w:type="dxa"/>
            </w:tcMar>
          </w:tcPr>
          <w:p>
            <w:pPr>
              <w:spacing w:after="0"/>
            </w:pPr>
            <w:r>
              <w:rPr>
                <w:color w:val="1F1F1F"/>
                <w:sz w:val="19"/>
              </w:rPr>
              <w:t>Remove it from the book and consider turning it into a side-path email.</w:t>
            </w:r>
          </w:p>
        </w:tc>
      </w:tr>
      <w:tr>
        <w:tc>
          <w:tcPr>
            <w:tcW w:type="dxa" w:w="3456"/>
            <w:tcMar>
              <w:top w:w="70" w:type="dxa"/>
              <w:start w:w="80" w:type="dxa"/>
              <w:bottom w:w="70" w:type="dxa"/>
              <w:end w:w="80" w:type="dxa"/>
            </w:tcMar>
          </w:tcPr>
          <w:p>
            <w:pPr>
              <w:spacing w:after="0"/>
            </w:pPr>
            <w:r>
              <w:rPr>
                <w:color w:val="1F1F1F"/>
                <w:sz w:val="19"/>
              </w:rPr>
              <w:t>A research discovery adds texture</w:t>
            </w:r>
          </w:p>
        </w:tc>
        <w:tc>
          <w:tcPr>
            <w:tcW w:type="dxa" w:w="6624"/>
            <w:tcMar>
              <w:top w:w="70" w:type="dxa"/>
              <w:start w:w="80" w:type="dxa"/>
              <w:bottom w:w="70" w:type="dxa"/>
              <w:end w:w="80" w:type="dxa"/>
            </w:tcMar>
          </w:tcPr>
          <w:p>
            <w:pPr>
              <w:spacing w:after="0"/>
            </w:pPr>
            <w:r>
              <w:rPr>
                <w:color w:val="1F1F1F"/>
                <w:sz w:val="19"/>
              </w:rPr>
              <w:t>Share it with readers if it helps them appreciate the topic more deeply.</w:t>
            </w:r>
          </w:p>
        </w:tc>
      </w:tr>
      <w:tr>
        <w:tc>
          <w:tcPr>
            <w:tcW w:type="dxa" w:w="3456"/>
            <w:tcMar>
              <w:top w:w="70" w:type="dxa"/>
              <w:start w:w="80" w:type="dxa"/>
              <w:bottom w:w="70" w:type="dxa"/>
              <w:end w:w="80" w:type="dxa"/>
            </w:tcMar>
          </w:tcPr>
          <w:p>
            <w:pPr>
              <w:spacing w:after="0"/>
            </w:pPr>
            <w:r>
              <w:rPr>
                <w:color w:val="1F1F1F"/>
                <w:sz w:val="19"/>
              </w:rPr>
              <w:t>A small observation points back to the main message</w:t>
            </w:r>
          </w:p>
        </w:tc>
        <w:tc>
          <w:tcPr>
            <w:tcW w:type="dxa" w:w="6624"/>
            <w:tcMar>
              <w:top w:w="70" w:type="dxa"/>
              <w:start w:w="80" w:type="dxa"/>
              <w:bottom w:w="70" w:type="dxa"/>
              <w:end w:w="80" w:type="dxa"/>
            </w:tcMar>
          </w:tcPr>
          <w:p>
            <w:pPr>
              <w:spacing w:after="0"/>
            </w:pPr>
            <w:r>
              <w:rPr>
                <w:color w:val="1F1F1F"/>
                <w:sz w:val="19"/>
              </w:rPr>
              <w:t>Use it to open a conversation without explaining the entire book.</w:t>
            </w:r>
          </w:p>
        </w:tc>
      </w:tr>
    </w:tbl>
    <w:p>
      <w:r>
        <w:br w:type="page"/>
      </w:r>
    </w:p>
    <w:p>
      <w:pPr>
        <w:pStyle w:val="Heading1"/>
      </w:pPr>
      <w:r>
        <w:t>The Simple Shape</w:t>
      </w:r>
    </w:p>
    <w:p>
      <w:r>
        <w:t>A side-path email does not need to be long. It only needs to introduce the side note, explain why it caught your attention, and connect it back to the larger message of the book. The connection matters. If the side path does not lead back to the main road, it may feel random to the reader.</w:t>
      </w:r>
    </w:p>
    <w:tbl>
      <w:tblPr>
        <w:tblStyle w:val="TableGrid"/>
        <w:tblW w:type="auto" w:w="0"/>
        <w:jc w:val="center"/>
        <w:tblLook w:firstColumn="1" w:firstRow="1" w:lastColumn="0" w:lastRow="0" w:noHBand="0" w:noVBand="1" w:val="04A0"/>
      </w:tblPr>
      <w:tblGrid>
        <w:gridCol w:w="5040"/>
        <w:gridCol w:w="5040"/>
      </w:tblGrid>
      <w:tr>
        <w:tc>
          <w:tcPr>
            <w:tcW w:type="dxa" w:w="3168"/>
            <w:shd w:fill="161616"/>
            <w:tcMar>
              <w:top w:w="80" w:type="dxa"/>
              <w:start w:w="80" w:type="dxa"/>
              <w:bottom w:w="80" w:type="dxa"/>
              <w:end w:w="80" w:type="dxa"/>
            </w:tcMar>
          </w:tcPr>
          <w:p>
            <w:r>
              <w:rPr>
                <w:b/>
                <w:color w:val="FFFFFF"/>
                <w:sz w:val="19"/>
              </w:rPr>
              <w:t>Part of the Email</w:t>
            </w:r>
          </w:p>
        </w:tc>
        <w:tc>
          <w:tcPr>
            <w:tcW w:type="dxa" w:w="6912"/>
            <w:shd w:fill="161616"/>
            <w:tcMar>
              <w:top w:w="80" w:type="dxa"/>
              <w:start w:w="80" w:type="dxa"/>
              <w:bottom w:w="80" w:type="dxa"/>
              <w:end w:w="80" w:type="dxa"/>
            </w:tcMar>
          </w:tcPr>
          <w:p>
            <w:r>
              <w:rPr>
                <w:b/>
                <w:color w:val="FFFFFF"/>
                <w:sz w:val="19"/>
              </w:rPr>
              <w:t>What It Does</w:t>
            </w:r>
          </w:p>
        </w:tc>
      </w:tr>
      <w:tr>
        <w:tc>
          <w:tcPr>
            <w:tcW w:type="dxa" w:w="3168"/>
            <w:tcMar>
              <w:top w:w="70" w:type="dxa"/>
              <w:start w:w="80" w:type="dxa"/>
              <w:bottom w:w="70" w:type="dxa"/>
              <w:end w:w="80" w:type="dxa"/>
            </w:tcMar>
          </w:tcPr>
          <w:p>
            <w:pPr>
              <w:spacing w:after="0"/>
            </w:pPr>
            <w:r>
              <w:rPr>
                <w:color w:val="1F1F1F"/>
                <w:sz w:val="19"/>
              </w:rPr>
              <w:t>1. Introduce the detail</w:t>
            </w:r>
          </w:p>
        </w:tc>
        <w:tc>
          <w:tcPr>
            <w:tcW w:type="dxa" w:w="6912"/>
            <w:tcMar>
              <w:top w:w="70" w:type="dxa"/>
              <w:start w:w="80" w:type="dxa"/>
              <w:bottom w:w="70" w:type="dxa"/>
              <w:end w:w="80" w:type="dxa"/>
            </w:tcMar>
          </w:tcPr>
          <w:p>
            <w:pPr>
              <w:spacing w:after="0"/>
            </w:pPr>
            <w:r>
              <w:rPr>
                <w:color w:val="1F1F1F"/>
                <w:sz w:val="19"/>
              </w:rPr>
              <w:t>Tell readers what small discovery, note, or observation you found.</w:t>
            </w:r>
          </w:p>
        </w:tc>
      </w:tr>
      <w:tr>
        <w:tc>
          <w:tcPr>
            <w:tcW w:type="dxa" w:w="3168"/>
            <w:tcMar>
              <w:top w:w="70" w:type="dxa"/>
              <w:start w:w="80" w:type="dxa"/>
              <w:bottom w:w="70" w:type="dxa"/>
              <w:end w:w="80" w:type="dxa"/>
            </w:tcMar>
          </w:tcPr>
          <w:p>
            <w:pPr>
              <w:spacing w:after="0"/>
            </w:pPr>
            <w:r>
              <w:rPr>
                <w:color w:val="1F1F1F"/>
                <w:sz w:val="19"/>
              </w:rPr>
              <w:t>2. Explain why it caught your attention</w:t>
            </w:r>
          </w:p>
        </w:tc>
        <w:tc>
          <w:tcPr>
            <w:tcW w:type="dxa" w:w="6912"/>
            <w:tcMar>
              <w:top w:w="70" w:type="dxa"/>
              <w:start w:w="80" w:type="dxa"/>
              <w:bottom w:w="70" w:type="dxa"/>
              <w:end w:w="80" w:type="dxa"/>
            </w:tcMar>
          </w:tcPr>
          <w:p>
            <w:pPr>
              <w:spacing w:after="0"/>
            </w:pPr>
            <w:r>
              <w:rPr>
                <w:color w:val="1F1F1F"/>
                <w:sz w:val="19"/>
              </w:rPr>
              <w:t>Share why this side note stood out to you while writing.</w:t>
            </w:r>
          </w:p>
        </w:tc>
      </w:tr>
      <w:tr>
        <w:tc>
          <w:tcPr>
            <w:tcW w:type="dxa" w:w="3168"/>
            <w:tcMar>
              <w:top w:w="70" w:type="dxa"/>
              <w:start w:w="80" w:type="dxa"/>
              <w:bottom w:w="70" w:type="dxa"/>
              <w:end w:w="80" w:type="dxa"/>
            </w:tcMar>
          </w:tcPr>
          <w:p>
            <w:pPr>
              <w:spacing w:after="0"/>
            </w:pPr>
            <w:r>
              <w:rPr>
                <w:color w:val="1F1F1F"/>
                <w:sz w:val="19"/>
              </w:rPr>
              <w:t>3. Connect it to the book</w:t>
            </w:r>
          </w:p>
        </w:tc>
        <w:tc>
          <w:tcPr>
            <w:tcW w:type="dxa" w:w="6912"/>
            <w:tcMar>
              <w:top w:w="70" w:type="dxa"/>
              <w:start w:w="80" w:type="dxa"/>
              <w:bottom w:w="70" w:type="dxa"/>
              <w:end w:w="80" w:type="dxa"/>
            </w:tcMar>
          </w:tcPr>
          <w:p>
            <w:pPr>
              <w:spacing w:after="0"/>
            </w:pPr>
            <w:r>
              <w:rPr>
                <w:color w:val="1F1F1F"/>
                <w:sz w:val="19"/>
              </w:rPr>
              <w:t>Show how the side path still supports the larger message.</w:t>
            </w:r>
          </w:p>
        </w:tc>
      </w:tr>
      <w:tr>
        <w:tc>
          <w:tcPr>
            <w:tcW w:type="dxa" w:w="3168"/>
            <w:tcMar>
              <w:top w:w="70" w:type="dxa"/>
              <w:start w:w="80" w:type="dxa"/>
              <w:bottom w:w="70" w:type="dxa"/>
              <w:end w:w="80" w:type="dxa"/>
            </w:tcMar>
          </w:tcPr>
          <w:p>
            <w:pPr>
              <w:spacing w:after="0"/>
            </w:pPr>
            <w:r>
              <w:rPr>
                <w:color w:val="1F1F1F"/>
                <w:sz w:val="19"/>
              </w:rPr>
              <w:t>4. Leave a thought or question</w:t>
            </w:r>
          </w:p>
        </w:tc>
        <w:tc>
          <w:tcPr>
            <w:tcW w:type="dxa" w:w="6912"/>
            <w:tcMar>
              <w:top w:w="70" w:type="dxa"/>
              <w:start w:w="80" w:type="dxa"/>
              <w:bottom w:w="70" w:type="dxa"/>
              <w:end w:w="80" w:type="dxa"/>
            </w:tcMar>
          </w:tcPr>
          <w:p>
            <w:pPr>
              <w:spacing w:after="0"/>
            </w:pPr>
            <w:r>
              <w:rPr>
                <w:color w:val="1F1F1F"/>
                <w:sz w:val="19"/>
              </w:rPr>
              <w:t>End with a small reflection that keeps the idea alive.</w:t>
            </w:r>
          </w:p>
        </w:tc>
      </w:tr>
    </w:tbl>
    <w:p>
      <w:pPr>
        <w:pStyle w:val="Heading1"/>
      </w:pPr>
      <w:r>
        <w:t>Example: Walking in Word of Wisdom</w:t>
      </w:r>
    </w:p>
    <w:tbl>
      <w:tblPr>
        <w:tblW w:type="auto" w:w="0"/>
        <w:jc w:val="center"/>
        <w:tblLook w:firstColumn="1" w:firstRow="1" w:lastColumn="0" w:lastRow="0" w:noHBand="0" w:noVBand="1" w:val="04A0"/>
      </w:tblPr>
      <w:tblGrid>
        <w:gridCol w:w="10080"/>
      </w:tblGrid>
      <w:tr>
        <w:tc>
          <w:tcPr>
            <w:tcW w:type="dxa" w:w="10080"/>
            <w:shd w:fill="F7F2EA"/>
            <w:tcBorders>
              <w:top w:sz="6" w:val="single" w:color="E2C29D"/>
              <w:left w:sz="6" w:val="single" w:color="E2C29D"/>
              <w:bottom w:sz="6" w:val="single" w:color="E2C29D"/>
              <w:right w:sz="6" w:val="single" w:color="E2C29D"/>
            </w:tcBorders>
            <w:tcMar>
              <w:top w:w="160" w:type="dxa"/>
              <w:start w:w="180" w:type="dxa"/>
              <w:bottom w:w="160" w:type="dxa"/>
              <w:end w:w="180" w:type="dxa"/>
            </w:tcMar>
          </w:tcPr>
          <w:p>
            <w:r>
              <w:rPr>
                <w:b/>
                <w:color w:val="161616"/>
                <w:sz w:val="22"/>
              </w:rPr>
              <w:t>Sample Email</w:t>
            </w:r>
          </w:p>
          <w:p>
            <w:pPr>
              <w:spacing w:after="160"/>
            </w:pPr>
            <w:r>
              <w:rPr>
                <w:b/>
                <w:color w:val="1F1F1F"/>
                <w:sz w:val="21"/>
              </w:rPr>
              <w:t>Subject: A Small Side Note About Wisdom and Communication</w:t>
            </w:r>
          </w:p>
          <w:p>
            <w:pPr>
              <w:spacing w:after="140"/>
            </w:pPr>
            <w:r>
              <w:rPr>
                <w:color w:val="1F1F1F"/>
                <w:sz w:val="21"/>
              </w:rPr>
              <w:t>I came across a small observation while working on Walking in Word of Wisdom that probably will not become a major section in the book, but it has stayed with me.</w:t>
            </w:r>
          </w:p>
          <w:p>
            <w:pPr>
              <w:spacing w:after="140"/>
            </w:pPr>
            <w:r>
              <w:rPr>
                <w:color w:val="1F1F1F"/>
                <w:sz w:val="21"/>
              </w:rPr>
              <w:t>Matthew and Luke often communicate in different ways because they are writing for different audiences. Matthew writes with Jewish readers in mind, people who would have recognized many Old Testament references and patterns. Luke often explains details for readers who may not have shared the same background.</w:t>
            </w:r>
          </w:p>
          <w:p>
            <w:pPr>
              <w:spacing w:after="140"/>
            </w:pPr>
            <w:r>
              <w:rPr>
                <w:color w:val="1F1F1F"/>
                <w:sz w:val="21"/>
              </w:rPr>
              <w:t>That small distinction reminded me that wisdom is not only about knowing what is true. Wisdom also considers how truth needs to be communicated so the right people can receive it.</w:t>
            </w:r>
          </w:p>
          <w:p>
            <w:pPr>
              <w:spacing w:after="140"/>
            </w:pPr>
            <w:r>
              <w:rPr>
                <w:color w:val="1F1F1F"/>
                <w:sz w:val="21"/>
              </w:rPr>
              <w:t>That thought connects beautifully with the larger theme of the book. The Word of Wisdom is not merely information from God. It is direction, timing, strategy, and often the ability to communicate or act in a way that fits the moment.</w:t>
            </w:r>
          </w:p>
          <w:p>
            <w:pPr>
              <w:spacing w:after="140"/>
            </w:pPr>
            <w:r>
              <w:rPr>
                <w:color w:val="1F1F1F"/>
                <w:sz w:val="21"/>
              </w:rPr>
              <w:t>I am grateful you are following the journey as this book continues to take shape.</w:t>
            </w:r>
          </w:p>
        </w:tc>
      </w:tr>
    </w:tbl>
    <w:p/>
    <w:p>
      <w:pPr>
        <w:pStyle w:val="Heading2"/>
      </w:pPr>
      <w:r>
        <w:t>Why This Example Works</w:t>
      </w:r>
    </w:p>
    <w:p>
      <w:r>
        <w:t>This email does not try to teach everything about Gospel audiences or ancient writing practices. It simply shares one interesting observation and connects it back to the larger idea of wisdom. The side path supports the journey without becoming the whole road.</w:t>
      </w:r>
    </w:p>
    <w:p>
      <w:r>
        <w:br w:type="page"/>
      </w:r>
    </w:p>
    <w:p>
      <w:pPr>
        <w:pStyle w:val="Heading1"/>
      </w:pPr>
      <w:r>
        <w:t>Other Side-Path Email Ideas</w:t>
      </w:r>
    </w:p>
    <w:p>
      <w:r>
        <w:t>Use these examples as starting points. The goal is not to copy the topic, but to notice the kinds of material that can become a helpful side-path email.</w:t>
      </w:r>
    </w:p>
    <w:tbl>
      <w:tblPr>
        <w:tblStyle w:val="TableGrid"/>
        <w:tblW w:type="auto" w:w="0"/>
        <w:jc w:val="center"/>
        <w:tblLook w:firstColumn="1" w:firstRow="1" w:lastColumn="0" w:lastRow="0" w:noHBand="0" w:noVBand="1" w:val="04A0"/>
      </w:tblPr>
      <w:tblGrid>
        <w:gridCol w:w="5040"/>
        <w:gridCol w:w="5040"/>
      </w:tblGrid>
      <w:tr>
        <w:tc>
          <w:tcPr>
            <w:tcW w:type="dxa" w:w="2880"/>
            <w:shd w:fill="161616"/>
            <w:tcMar>
              <w:top w:w="80" w:type="dxa"/>
              <w:start w:w="80" w:type="dxa"/>
              <w:bottom w:w="80" w:type="dxa"/>
              <w:end w:w="80" w:type="dxa"/>
            </w:tcMar>
          </w:tcPr>
          <w:p>
            <w:r>
              <w:rPr>
                <w:b/>
                <w:color w:val="FFFFFF"/>
                <w:sz w:val="19"/>
              </w:rPr>
              <w:t>Book Type</w:t>
            </w:r>
          </w:p>
        </w:tc>
        <w:tc>
          <w:tcPr>
            <w:tcW w:type="dxa" w:w="7200"/>
            <w:shd w:fill="161616"/>
            <w:tcMar>
              <w:top w:w="80" w:type="dxa"/>
              <w:start w:w="80" w:type="dxa"/>
              <w:bottom w:w="80" w:type="dxa"/>
              <w:end w:w="80" w:type="dxa"/>
            </w:tcMar>
          </w:tcPr>
          <w:p>
            <w:r>
              <w:rPr>
                <w:b/>
                <w:color w:val="FFFFFF"/>
                <w:sz w:val="19"/>
              </w:rPr>
              <w:t>Possible Side-Path Topic</w:t>
            </w:r>
          </w:p>
        </w:tc>
      </w:tr>
      <w:tr>
        <w:tc>
          <w:tcPr>
            <w:tcW w:type="dxa" w:w="2880"/>
            <w:tcMar>
              <w:top w:w="70" w:type="dxa"/>
              <w:start w:w="80" w:type="dxa"/>
              <w:bottom w:w="70" w:type="dxa"/>
              <w:end w:w="80" w:type="dxa"/>
            </w:tcMar>
          </w:tcPr>
          <w:p>
            <w:pPr>
              <w:spacing w:after="0"/>
            </w:pPr>
            <w:r>
              <w:rPr>
                <w:color w:val="1F1F1F"/>
                <w:sz w:val="19"/>
              </w:rPr>
              <w:t>Memoir</w:t>
            </w:r>
          </w:p>
        </w:tc>
        <w:tc>
          <w:tcPr>
            <w:tcW w:type="dxa" w:w="7200"/>
            <w:tcMar>
              <w:top w:w="70" w:type="dxa"/>
              <w:start w:w="80" w:type="dxa"/>
              <w:bottom w:w="70" w:type="dxa"/>
              <w:end w:w="80" w:type="dxa"/>
            </w:tcMar>
          </w:tcPr>
          <w:p>
            <w:pPr>
              <w:spacing w:after="0"/>
            </w:pPr>
            <w:r>
              <w:rPr>
                <w:color w:val="1F1F1F"/>
                <w:sz w:val="19"/>
              </w:rPr>
              <w:t>A family phrase, old photograph, childhood location, or detail from the era that helps readers understand the emotional setting.</w:t>
            </w:r>
          </w:p>
        </w:tc>
      </w:tr>
      <w:tr>
        <w:tc>
          <w:tcPr>
            <w:tcW w:type="dxa" w:w="2880"/>
            <w:tcMar>
              <w:top w:w="70" w:type="dxa"/>
              <w:start w:w="80" w:type="dxa"/>
              <w:bottom w:w="70" w:type="dxa"/>
              <w:end w:w="80" w:type="dxa"/>
            </w:tcMar>
          </w:tcPr>
          <w:p>
            <w:pPr>
              <w:spacing w:after="0"/>
            </w:pPr>
            <w:r>
              <w:rPr>
                <w:color w:val="1F1F1F"/>
                <w:sz w:val="19"/>
              </w:rPr>
              <w:t>Leadership</w:t>
            </w:r>
          </w:p>
        </w:tc>
        <w:tc>
          <w:tcPr>
            <w:tcW w:type="dxa" w:w="7200"/>
            <w:tcMar>
              <w:top w:w="70" w:type="dxa"/>
              <w:start w:w="80" w:type="dxa"/>
              <w:bottom w:w="70" w:type="dxa"/>
              <w:end w:w="80" w:type="dxa"/>
            </w:tcMar>
          </w:tcPr>
          <w:p>
            <w:pPr>
              <w:spacing w:after="0"/>
            </w:pPr>
            <w:r>
              <w:rPr>
                <w:color w:val="1F1F1F"/>
                <w:sz w:val="19"/>
              </w:rPr>
              <w:t>A historical example, meeting moment, quote, or decision-making detail that illustrates the weight of responsibility.</w:t>
            </w:r>
          </w:p>
        </w:tc>
      </w:tr>
      <w:tr>
        <w:tc>
          <w:tcPr>
            <w:tcW w:type="dxa" w:w="2880"/>
            <w:tcMar>
              <w:top w:w="70" w:type="dxa"/>
              <w:start w:w="80" w:type="dxa"/>
              <w:bottom w:w="70" w:type="dxa"/>
              <w:end w:w="80" w:type="dxa"/>
            </w:tcMar>
          </w:tcPr>
          <w:p>
            <w:pPr>
              <w:spacing w:after="0"/>
            </w:pPr>
            <w:r>
              <w:rPr>
                <w:color w:val="1F1F1F"/>
                <w:sz w:val="19"/>
              </w:rPr>
              <w:t>Faith or spiritual growth</w:t>
            </w:r>
          </w:p>
        </w:tc>
        <w:tc>
          <w:tcPr>
            <w:tcW w:type="dxa" w:w="7200"/>
            <w:tcMar>
              <w:top w:w="70" w:type="dxa"/>
              <w:start w:w="80" w:type="dxa"/>
              <w:bottom w:w="70" w:type="dxa"/>
              <w:end w:w="80" w:type="dxa"/>
            </w:tcMar>
          </w:tcPr>
          <w:p>
            <w:pPr>
              <w:spacing w:after="0"/>
            </w:pPr>
            <w:r>
              <w:rPr>
                <w:color w:val="1F1F1F"/>
                <w:sz w:val="19"/>
              </w:rPr>
              <w:t>A translation note, biblical background detail, cultural context, or lesser-known example that sheds light on the theme.</w:t>
            </w:r>
          </w:p>
        </w:tc>
      </w:tr>
      <w:tr>
        <w:tc>
          <w:tcPr>
            <w:tcW w:type="dxa" w:w="2880"/>
            <w:tcMar>
              <w:top w:w="70" w:type="dxa"/>
              <w:start w:w="80" w:type="dxa"/>
              <w:bottom w:w="70" w:type="dxa"/>
              <w:end w:w="80" w:type="dxa"/>
            </w:tcMar>
          </w:tcPr>
          <w:p>
            <w:pPr>
              <w:spacing w:after="0"/>
            </w:pPr>
            <w:r>
              <w:rPr>
                <w:color w:val="1F1F1F"/>
                <w:sz w:val="19"/>
              </w:rPr>
              <w:t>Practical how-to book</w:t>
            </w:r>
          </w:p>
        </w:tc>
        <w:tc>
          <w:tcPr>
            <w:tcW w:type="dxa" w:w="7200"/>
            <w:tcMar>
              <w:top w:w="70" w:type="dxa"/>
              <w:start w:w="80" w:type="dxa"/>
              <w:bottom w:w="70" w:type="dxa"/>
              <w:end w:w="80" w:type="dxa"/>
            </w:tcMar>
          </w:tcPr>
          <w:p>
            <w:pPr>
              <w:spacing w:after="0"/>
            </w:pPr>
            <w:r>
              <w:rPr>
                <w:color w:val="1F1F1F"/>
                <w:sz w:val="19"/>
              </w:rPr>
              <w:t>A tool, tip, mistake, comparison, or small discovery that helped clarify the process but does not need a full chapter.</w:t>
            </w:r>
          </w:p>
        </w:tc>
      </w:tr>
      <w:tr>
        <w:tc>
          <w:tcPr>
            <w:tcW w:type="dxa" w:w="2880"/>
            <w:tcMar>
              <w:top w:w="70" w:type="dxa"/>
              <w:start w:w="80" w:type="dxa"/>
              <w:bottom w:w="70" w:type="dxa"/>
              <w:end w:w="80" w:type="dxa"/>
            </w:tcMar>
          </w:tcPr>
          <w:p>
            <w:pPr>
              <w:spacing w:after="0"/>
            </w:pPr>
            <w:r>
              <w:rPr>
                <w:color w:val="1F1F1F"/>
                <w:sz w:val="19"/>
              </w:rPr>
              <w:t>Personal growth</w:t>
            </w:r>
          </w:p>
        </w:tc>
        <w:tc>
          <w:tcPr>
            <w:tcW w:type="dxa" w:w="7200"/>
            <w:tcMar>
              <w:top w:w="70" w:type="dxa"/>
              <w:start w:w="80" w:type="dxa"/>
              <w:bottom w:w="70" w:type="dxa"/>
              <w:end w:w="80" w:type="dxa"/>
            </w:tcMar>
          </w:tcPr>
          <w:p>
            <w:pPr>
              <w:spacing w:after="0"/>
            </w:pPr>
            <w:r>
              <w:rPr>
                <w:color w:val="1F1F1F"/>
                <w:sz w:val="19"/>
              </w:rPr>
              <w:t>A small distinction, surprising research note, or removed story that still helps readers think more clearly.</w:t>
            </w:r>
          </w:p>
        </w:tc>
      </w:tr>
    </w:tbl>
    <w:p>
      <w:pPr>
        <w:pStyle w:val="Heading1"/>
      </w:pPr>
      <w:r>
        <w:t>Opening Lines You Can Use</w:t>
      </w:r>
    </w:p>
    <w:p>
      <w:pPr>
        <w:pStyle w:val="ListBullet"/>
      </w:pPr>
      <w:r>
        <w:t>I came across a small detail while working on the book that I found fascinating.</w:t>
      </w:r>
    </w:p>
    <w:p>
      <w:pPr>
        <w:pStyle w:val="ListBullet"/>
      </w:pPr>
      <w:r>
        <w:t>This probably will not become a major section in the book, but it helped me think about the topic differently.</w:t>
      </w:r>
    </w:p>
    <w:p>
      <w:pPr>
        <w:pStyle w:val="ListBullet"/>
      </w:pPr>
      <w:r>
        <w:t>One side note from my research has stayed with me.</w:t>
      </w:r>
    </w:p>
    <w:p>
      <w:pPr>
        <w:pStyle w:val="ListBullet"/>
      </w:pPr>
      <w:r>
        <w:t>I removed this from the chapter because it slowed the flow, but I still think it is worth sharing.</w:t>
      </w:r>
    </w:p>
    <w:p>
      <w:pPr>
        <w:pStyle w:val="ListBullet"/>
      </w:pPr>
      <w:r>
        <w:t>This is one of those small details that does not need a whole chapter, but it does open an interesting window.</w:t>
      </w:r>
    </w:p>
    <w:p>
      <w:pPr>
        <w:pStyle w:val="Heading1"/>
      </w:pPr>
      <w:r>
        <w:t>What to Avoid</w:t>
      </w:r>
    </w:p>
    <w:p>
      <w:r>
        <w:t>A side-path email should not feel like a random rabbit trail. If the detail is interesting to you but has no clear connection to the book, save it for a different setting. Readers should be able to see why the note belongs in the larger conversation you are building with them.</w:t>
      </w:r>
    </w:p>
    <w:tbl>
      <w:tblPr>
        <w:tblW w:type="auto" w:w="0"/>
        <w:jc w:val="center"/>
        <w:tblLook w:firstColumn="1" w:firstRow="1" w:lastColumn="0" w:lastRow="0" w:noHBand="0" w:noVBand="1" w:val="04A0"/>
      </w:tblPr>
      <w:tblGrid>
        <w:gridCol w:w="10080"/>
      </w:tblGrid>
      <w:tr>
        <w:tc>
          <w:tcPr>
            <w:tcW w:type="dxa" w:w="10080"/>
            <w:shd w:fill="FAF7F1"/>
            <w:tcBorders>
              <w:top w:sz="8" w:val="single" w:color="E2C29D"/>
              <w:left w:sz="8" w:val="single" w:color="E2C29D"/>
              <w:bottom w:sz="8" w:val="single" w:color="E2C29D"/>
              <w:right w:sz="8" w:val="single" w:color="E2C29D"/>
            </w:tcBorders>
            <w:tcMar>
              <w:top w:w="140" w:type="dxa"/>
              <w:start w:w="160" w:type="dxa"/>
              <w:bottom w:w="140" w:type="dxa"/>
              <w:end w:w="160" w:type="dxa"/>
            </w:tcMar>
          </w:tcPr>
          <w:p>
            <w:pPr>
              <w:spacing w:after="80"/>
            </w:pPr>
            <w:r>
              <w:rPr>
                <w:b/>
                <w:color w:val="161616"/>
                <w:sz w:val="22"/>
              </w:rPr>
              <w:t>Helpful test</w:t>
            </w:r>
          </w:p>
          <w:p>
            <w:pPr>
              <w:spacing w:after="0"/>
            </w:pPr>
            <w:r>
              <w:rPr>
                <w:color w:val="1F1F1F"/>
                <w:sz w:val="21"/>
              </w:rPr>
              <w:t>Ask: Does this detail make the book’s main subject more interesting, clearer, richer, or more memorable? If yes, it may be a good side-path email.</w:t>
            </w:r>
          </w:p>
        </w:tc>
      </w:tr>
    </w:tbl>
    <w:p/>
    <w:p>
      <w:r>
        <w:br w:type="page"/>
      </w:r>
    </w:p>
    <w:p>
      <w:pPr>
        <w:pStyle w:val="Heading1"/>
      </w:pPr>
      <w:r>
        <w:t>Side-Path Email Worksheet</w:t>
      </w:r>
    </w:p>
    <w:p>
      <w:r>
        <w:t>Use this worksheet to turn one side note into a possible reader email. Keep your answers simple. You are only gathering the pieces you need before writing.</w:t>
      </w:r>
    </w:p>
    <w:tbl>
      <w:tblPr>
        <w:tblStyle w:val="TableGrid"/>
        <w:tblW w:type="auto" w:w="0"/>
        <w:jc w:val="center"/>
        <w:tblLook w:firstColumn="1" w:firstRow="1" w:lastColumn="0" w:lastRow="0" w:noHBand="0" w:noVBand="1" w:val="04A0"/>
      </w:tblPr>
      <w:tblGrid>
        <w:gridCol w:w="5040"/>
        <w:gridCol w:w="5040"/>
      </w:tblGrid>
      <w:tr>
        <w:tc>
          <w:tcPr>
            <w:tcW w:type="dxa" w:w="5040"/>
            <w:shd w:fill="161616"/>
            <w:tcMar>
              <w:top w:w="90" w:type="dxa"/>
              <w:start w:w="90" w:type="dxa"/>
              <w:bottom w:w="90" w:type="dxa"/>
              <w:end w:w="90" w:type="dxa"/>
            </w:tcMar>
          </w:tcPr>
          <w:p>
            <w:r>
              <w:rPr>
                <w:b/>
                <w:color w:val="FFFFFF"/>
                <w:sz w:val="19"/>
              </w:rPr>
              <w:t>Prompt</w:t>
            </w:r>
          </w:p>
        </w:tc>
        <w:tc>
          <w:tcPr>
            <w:tcW w:type="dxa" w:w="5040"/>
            <w:shd w:fill="161616"/>
            <w:tcMar>
              <w:top w:w="90" w:type="dxa"/>
              <w:start w:w="90" w:type="dxa"/>
              <w:bottom w:w="90" w:type="dxa"/>
              <w:end w:w="90" w:type="dxa"/>
            </w:tcMar>
          </w:tcPr>
          <w:p>
            <w:r>
              <w:rPr>
                <w:b/>
                <w:color w:val="FFFFFF"/>
                <w:sz w:val="19"/>
              </w:rPr>
              <w:t>Notes</w:t>
            </w:r>
          </w:p>
        </w:tc>
      </w:tr>
      <w:tr>
        <w:tc>
          <w:tcPr>
            <w:tcW w:type="dxa" w:w="5040"/>
            <w:tcMar>
              <w:top w:w="110" w:type="dxa"/>
              <w:start w:w="90" w:type="dxa"/>
              <w:bottom w:w="110" w:type="dxa"/>
              <w:end w:w="90" w:type="dxa"/>
            </w:tcMar>
            <w:vAlign w:val="top"/>
          </w:tcPr>
          <w:p>
            <w:pPr>
              <w:spacing w:after="0"/>
            </w:pPr>
            <w:r>
              <w:rPr>
                <w:b/>
                <w:sz w:val="19"/>
              </w:rPr>
              <w:t>The side-path idea</w:t>
            </w:r>
          </w:p>
        </w:tc>
        <w:tc>
          <w:tcPr>
            <w:tcW w:type="dxa" w:w="5040"/>
            <w:tcMar>
              <w:top w:w="110" w:type="dxa"/>
              <w:start w:w="90" w:type="dxa"/>
              <w:bottom w:w="110" w:type="dxa"/>
              <w:end w:w="90" w:type="dxa"/>
            </w:tcMar>
            <w:vAlign w:val="top"/>
          </w:tcPr>
          <w:p>
            <w:pPr>
              <w:spacing w:after="0"/>
            </w:pPr>
            <w:r>
              <w:rPr>
                <w:color w:val="5B544B"/>
                <w:sz w:val="19"/>
              </w:rPr>
            </w:r>
          </w:p>
          <w:p>
            <w:pPr>
              <w:spacing w:after="0"/>
            </w:pPr>
            <w:r/>
          </w:p>
          <w:p>
            <w:pPr>
              <w:spacing w:after="0"/>
            </w:pPr>
            <w:r/>
          </w:p>
          <w:p>
            <w:pPr>
              <w:spacing w:after="0"/>
            </w:pPr>
            <w:r/>
          </w:p>
        </w:tc>
      </w:tr>
      <w:tr>
        <w:tc>
          <w:tcPr>
            <w:tcW w:type="dxa" w:w="5040"/>
            <w:tcMar>
              <w:top w:w="110" w:type="dxa"/>
              <w:start w:w="90" w:type="dxa"/>
              <w:bottom w:w="110" w:type="dxa"/>
              <w:end w:w="90" w:type="dxa"/>
            </w:tcMar>
            <w:vAlign w:val="top"/>
          </w:tcPr>
          <w:p>
            <w:pPr>
              <w:spacing w:after="0"/>
            </w:pPr>
            <w:r>
              <w:rPr>
                <w:b/>
                <w:sz w:val="19"/>
              </w:rPr>
              <w:t>Where it came from</w:t>
            </w:r>
          </w:p>
        </w:tc>
        <w:tc>
          <w:tcPr>
            <w:tcW w:type="dxa" w:w="5040"/>
            <w:tcMar>
              <w:top w:w="110" w:type="dxa"/>
              <w:start w:w="90" w:type="dxa"/>
              <w:bottom w:w="110" w:type="dxa"/>
              <w:end w:w="90" w:type="dxa"/>
            </w:tcMar>
            <w:vAlign w:val="top"/>
          </w:tcPr>
          <w:p>
            <w:pPr>
              <w:spacing w:after="0"/>
            </w:pPr>
            <w:r>
              <w:rPr>
                <w:color w:val="5B544B"/>
                <w:sz w:val="19"/>
              </w:rPr>
              <w:t>Research notes, removed paragraph, conversation, Scripture study, memory, example, article, interview, etc.</w:t>
            </w:r>
          </w:p>
          <w:p>
            <w:pPr>
              <w:spacing w:after="0"/>
            </w:pPr>
            <w:r/>
          </w:p>
          <w:p>
            <w:pPr>
              <w:spacing w:after="0"/>
            </w:pPr>
            <w:r/>
          </w:p>
          <w:p>
            <w:pPr>
              <w:spacing w:after="0"/>
            </w:pPr>
            <w:r/>
          </w:p>
        </w:tc>
      </w:tr>
      <w:tr>
        <w:tc>
          <w:tcPr>
            <w:tcW w:type="dxa" w:w="5040"/>
            <w:tcMar>
              <w:top w:w="110" w:type="dxa"/>
              <w:start w:w="90" w:type="dxa"/>
              <w:bottom w:w="110" w:type="dxa"/>
              <w:end w:w="90" w:type="dxa"/>
            </w:tcMar>
            <w:vAlign w:val="top"/>
          </w:tcPr>
          <w:p>
            <w:pPr>
              <w:spacing w:after="0"/>
            </w:pPr>
            <w:r>
              <w:rPr>
                <w:b/>
                <w:sz w:val="19"/>
              </w:rPr>
              <w:t>Why it caught my attention</w:t>
            </w:r>
          </w:p>
        </w:tc>
        <w:tc>
          <w:tcPr>
            <w:tcW w:type="dxa" w:w="5040"/>
            <w:tcMar>
              <w:top w:w="110" w:type="dxa"/>
              <w:start w:w="90" w:type="dxa"/>
              <w:bottom w:w="110" w:type="dxa"/>
              <w:end w:w="90" w:type="dxa"/>
            </w:tcMar>
            <w:vAlign w:val="top"/>
          </w:tcPr>
          <w:p>
            <w:pPr>
              <w:spacing w:after="0"/>
            </w:pPr>
            <w:r>
              <w:rPr>
                <w:color w:val="5B544B"/>
                <w:sz w:val="19"/>
              </w:rPr>
            </w:r>
          </w:p>
          <w:p>
            <w:pPr>
              <w:spacing w:after="0"/>
            </w:pPr>
            <w:r/>
          </w:p>
          <w:p>
            <w:pPr>
              <w:spacing w:after="0"/>
            </w:pPr>
            <w:r/>
          </w:p>
          <w:p>
            <w:pPr>
              <w:spacing w:after="0"/>
            </w:pPr>
            <w:r/>
          </w:p>
        </w:tc>
      </w:tr>
      <w:tr>
        <w:tc>
          <w:tcPr>
            <w:tcW w:type="dxa" w:w="5040"/>
            <w:tcMar>
              <w:top w:w="110" w:type="dxa"/>
              <w:start w:w="90" w:type="dxa"/>
              <w:bottom w:w="110" w:type="dxa"/>
              <w:end w:w="90" w:type="dxa"/>
            </w:tcMar>
            <w:vAlign w:val="top"/>
          </w:tcPr>
          <w:p>
            <w:pPr>
              <w:spacing w:after="0"/>
            </w:pPr>
            <w:r>
              <w:rPr>
                <w:b/>
                <w:sz w:val="19"/>
              </w:rPr>
              <w:t>Why it does not need to be a major part of the book</w:t>
            </w:r>
          </w:p>
        </w:tc>
        <w:tc>
          <w:tcPr>
            <w:tcW w:type="dxa" w:w="5040"/>
            <w:tcMar>
              <w:top w:w="110" w:type="dxa"/>
              <w:start w:w="90" w:type="dxa"/>
              <w:bottom w:w="110" w:type="dxa"/>
              <w:end w:w="90" w:type="dxa"/>
            </w:tcMar>
            <w:vAlign w:val="top"/>
          </w:tcPr>
          <w:p>
            <w:pPr>
              <w:spacing w:after="0"/>
            </w:pPr>
            <w:r>
              <w:rPr>
                <w:color w:val="5B544B"/>
                <w:sz w:val="19"/>
              </w:rPr>
            </w:r>
          </w:p>
          <w:p>
            <w:pPr>
              <w:spacing w:after="0"/>
            </w:pPr>
            <w:r/>
          </w:p>
          <w:p>
            <w:pPr>
              <w:spacing w:after="0"/>
            </w:pPr>
            <w:r/>
          </w:p>
          <w:p>
            <w:pPr>
              <w:spacing w:after="0"/>
            </w:pPr>
            <w:r/>
          </w:p>
        </w:tc>
      </w:tr>
      <w:tr>
        <w:tc>
          <w:tcPr>
            <w:tcW w:type="dxa" w:w="5040"/>
            <w:tcMar>
              <w:top w:w="110" w:type="dxa"/>
              <w:start w:w="90" w:type="dxa"/>
              <w:bottom w:w="110" w:type="dxa"/>
              <w:end w:w="90" w:type="dxa"/>
            </w:tcMar>
            <w:vAlign w:val="top"/>
          </w:tcPr>
          <w:p>
            <w:pPr>
              <w:spacing w:after="0"/>
            </w:pPr>
            <w:r>
              <w:rPr>
                <w:b/>
                <w:sz w:val="19"/>
              </w:rPr>
              <w:t>How it connects to the larger message</w:t>
            </w:r>
          </w:p>
        </w:tc>
        <w:tc>
          <w:tcPr>
            <w:tcW w:type="dxa" w:w="5040"/>
            <w:tcMar>
              <w:top w:w="110" w:type="dxa"/>
              <w:start w:w="90" w:type="dxa"/>
              <w:bottom w:w="110" w:type="dxa"/>
              <w:end w:w="90" w:type="dxa"/>
            </w:tcMar>
            <w:vAlign w:val="top"/>
          </w:tcPr>
          <w:p>
            <w:pPr>
              <w:spacing w:after="0"/>
            </w:pPr>
            <w:r>
              <w:rPr>
                <w:color w:val="5B544B"/>
                <w:sz w:val="19"/>
              </w:rPr>
            </w:r>
          </w:p>
          <w:p>
            <w:pPr>
              <w:spacing w:after="0"/>
            </w:pPr>
            <w:r/>
          </w:p>
          <w:p>
            <w:pPr>
              <w:spacing w:after="0"/>
            </w:pPr>
            <w:r/>
          </w:p>
          <w:p>
            <w:pPr>
              <w:spacing w:after="0"/>
            </w:pPr>
            <w:r/>
          </w:p>
        </w:tc>
      </w:tr>
      <w:tr>
        <w:tc>
          <w:tcPr>
            <w:tcW w:type="dxa" w:w="5040"/>
            <w:tcMar>
              <w:top w:w="110" w:type="dxa"/>
              <w:start w:w="90" w:type="dxa"/>
              <w:bottom w:w="110" w:type="dxa"/>
              <w:end w:w="90" w:type="dxa"/>
            </w:tcMar>
            <w:vAlign w:val="top"/>
          </w:tcPr>
          <w:p>
            <w:pPr>
              <w:spacing w:after="0"/>
            </w:pPr>
            <w:r>
              <w:rPr>
                <w:b/>
                <w:sz w:val="19"/>
              </w:rPr>
              <w:t>The thought or question I could leave with readers</w:t>
            </w:r>
          </w:p>
        </w:tc>
        <w:tc>
          <w:tcPr>
            <w:tcW w:type="dxa" w:w="5040"/>
            <w:tcMar>
              <w:top w:w="110" w:type="dxa"/>
              <w:start w:w="90" w:type="dxa"/>
              <w:bottom w:w="110" w:type="dxa"/>
              <w:end w:w="90" w:type="dxa"/>
            </w:tcMar>
            <w:vAlign w:val="top"/>
          </w:tcPr>
          <w:p>
            <w:pPr>
              <w:spacing w:after="0"/>
            </w:pPr>
            <w:r>
              <w:rPr>
                <w:color w:val="5B544B"/>
                <w:sz w:val="19"/>
              </w:rPr>
            </w:r>
          </w:p>
          <w:p>
            <w:pPr>
              <w:spacing w:after="0"/>
            </w:pPr>
            <w:r/>
          </w:p>
          <w:p>
            <w:pPr>
              <w:spacing w:after="0"/>
            </w:pPr>
            <w:r/>
          </w:p>
          <w:p>
            <w:pPr>
              <w:spacing w:after="0"/>
            </w:pPr>
            <w:r/>
          </w:p>
        </w:tc>
      </w:tr>
    </w:tbl>
    <w:p/>
    <w:tbl>
      <w:tblPr>
        <w:tblW w:type="auto" w:w="0"/>
        <w:jc w:val="center"/>
        <w:tblLook w:firstColumn="1" w:firstRow="1" w:lastColumn="0" w:lastRow="0" w:noHBand="0" w:noVBand="1" w:val="04A0"/>
      </w:tblPr>
      <w:tblGrid>
        <w:gridCol w:w="10080"/>
      </w:tblGrid>
      <w:tr>
        <w:tc>
          <w:tcPr>
            <w:tcW w:type="dxa" w:w="10080"/>
            <w:shd w:fill="FAF7F1"/>
            <w:tcBorders>
              <w:top w:sz="8" w:val="single" w:color="E2C29D"/>
              <w:left w:sz="8" w:val="single" w:color="E2C29D"/>
              <w:bottom w:sz="8" w:val="single" w:color="E2C29D"/>
              <w:right w:sz="8" w:val="single" w:color="E2C29D"/>
            </w:tcBorders>
            <w:tcMar>
              <w:top w:w="140" w:type="dxa"/>
              <w:start w:w="160" w:type="dxa"/>
              <w:bottom w:w="140" w:type="dxa"/>
              <w:end w:w="160" w:type="dxa"/>
            </w:tcMar>
          </w:tcPr>
          <w:p>
            <w:pPr>
              <w:spacing w:after="80"/>
            </w:pPr>
            <w:r>
              <w:rPr>
                <w:b/>
                <w:color w:val="161616"/>
                <w:sz w:val="22"/>
              </w:rPr>
              <w:t>Remember</w:t>
            </w:r>
          </w:p>
          <w:p>
            <w:pPr>
              <w:spacing w:after="0"/>
            </w:pPr>
            <w:r>
              <w:rPr>
                <w:color w:val="1F1F1F"/>
                <w:sz w:val="21"/>
              </w:rPr>
              <w:t>Not every good idea has to fit inside the manuscript. Some ideas serve the book best by becoming thoughtful conversations with readers along the way.</w:t>
            </w:r>
          </w:p>
        </w:tc>
      </w:tr>
    </w:tbl>
    <w:p/>
    <w:sectPr w:rsidR="00FC693F" w:rsidRPr="0006063C" w:rsidSect="00034616">
      <w:headerReference w:type="default" r:id="rId9"/>
      <w:footerReference w:type="default" r:id="rId10"/>
      <w:pgSz w:w="12240" w:h="15840"/>
      <w:pgMar w:top="1008"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44B"/>
        <w:sz w:val="17"/>
      </w:rPr>
      <w:t>Side-Path Emails - Applied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5B544B"/>
        <w:sz w:val="17"/>
      </w:rPr>
      <w:t>Create Great Books | Build Your Reader List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eastAsia="Arial"/>
      <w:color w:val="1F1F1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Georgia" w:hAnsi="Georgia" w:eastAsia="Georgia"/>
      <w:b/>
      <w:bCs/>
      <w:color w:val="161616"/>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Georgia" w:hAnsi="Georgia" w:eastAsia="Georgia"/>
      <w:b/>
      <w:bCs/>
      <w:color w:val="161616"/>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eastAsia="Georgia"/>
      <w:b/>
      <w:bCs/>
      <w:color w:val="16161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eastAsia="Georgia"/>
      <w:b/>
      <w:color w:val="161616"/>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Side-Path Emails - Applied</dc:title>
  <dc:subject>Create Great Books Build Your Reader List resource</dc:subject>
  <dc:creator>Create Great Books</dc:creator>
  <cp:keywords/>
  <dc:description>Generated course resource for Lesson 7: Side-Path Emails</dc:description>
  <cp:lastModifiedBy/>
  <cp:revision>1</cp:revision>
  <dcterms:created xsi:type="dcterms:W3CDTF">2013-12-23T23:15:00Z</dcterms:created>
  <dcterms:modified xsi:type="dcterms:W3CDTF">2013-12-23T23:15:00Z</dcterms:modified>
  <cp:category/>
</cp:coreProperties>
</file>