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3AAA" w14:textId="77777777" w:rsidR="00C85301" w:rsidRDefault="008B4337">
      <w:pPr>
        <w:jc w:val="center"/>
      </w:pPr>
      <w:r>
        <w:rPr>
          <w:noProof/>
        </w:rPr>
        <w:drawing>
          <wp:inline distT="0" distB="0" distL="0" distR="0" wp14:anchorId="0D4305D9" wp14:editId="5F441897">
            <wp:extent cx="5394960" cy="2449505"/>
            <wp:effectExtent l="0" t="0" r="0" b="0"/>
            <wp:docPr id="1" name="Picture 1" descr="Create Great Books logo with open book and pen nib, followed by the words Create Great Books and the tagline Write. Finish. Publish." title="Create Great Boo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b_wide_logo.png"/>
                    <pic:cNvPicPr/>
                  </pic:nvPicPr>
                  <pic:blipFill>
                    <a:blip r:embed="rId8"/>
                    <a:stretch>
                      <a:fillRect/>
                    </a:stretch>
                  </pic:blipFill>
                  <pic:spPr>
                    <a:xfrm>
                      <a:off x="0" y="0"/>
                      <a:ext cx="5394960" cy="2449505"/>
                    </a:xfrm>
                    <a:prstGeom prst="rect">
                      <a:avLst/>
                    </a:prstGeom>
                  </pic:spPr>
                </pic:pic>
              </a:graphicData>
            </a:graphic>
          </wp:inline>
        </w:drawing>
      </w:r>
    </w:p>
    <w:p w14:paraId="7A425A94" w14:textId="77777777" w:rsidR="00C85301" w:rsidRDefault="00C85301">
      <w:pPr>
        <w:pBdr>
          <w:bottom w:val="single" w:sz="14" w:space="1" w:color="C6A04B"/>
        </w:pBdr>
        <w:spacing w:before="40" w:after="160"/>
      </w:pPr>
    </w:p>
    <w:p w14:paraId="5E99E343" w14:textId="4004D2BE" w:rsidR="00C85301" w:rsidRDefault="002C2E2B" w:rsidP="002C2E2B">
      <w:pPr>
        <w:pStyle w:val="Title"/>
      </w:pPr>
      <w:r>
        <w:t>Side-Path Emails – Applied</w:t>
      </w:r>
    </w:p>
    <w:p w14:paraId="50B07926" w14:textId="77777777" w:rsidR="00C85301" w:rsidRDefault="008B4337">
      <w:pPr>
        <w:pStyle w:val="Subtitle"/>
      </w:pPr>
      <w:r>
        <w:t>Build Your Reader List While You Write</w:t>
      </w:r>
    </w:p>
    <w:p w14:paraId="3833030C" w14:textId="023378AA" w:rsidR="00C85301" w:rsidRDefault="00C85301">
      <w:pPr>
        <w:pStyle w:val="TemplateGuidance"/>
      </w:pPr>
    </w:p>
    <w:p>
      <w:pPr>
        <w:pStyle w:val="Heading2"/>
        <w:jc w:val="center"/>
      </w:pPr>
      <w:r>
        <w:t>General Side-Path Email Ideas for Authors</w:t>
      </w:r>
    </w:p>
    <w:p>
      <w:pPr>
        <w:pStyle w:val="Heading3"/>
      </w:pPr>
      <w:r>
        <w:t>What Is a Side-Path Email?</w:t>
      </w:r>
    </w:p>
    <w:p>
      <w:r>
        <w:t>A side-path email shares an interesting idea that connects to the book but does not need to become a main section of the manuscript. It might come from research notes, a paragraph you removed, a small historical or cultural detail, a translation observation, a personal discovery, or a supporting thought that helped you understand the topic more clearly.</w:t>
      </w:r>
    </w:p>
    <w:p>
      <w:r>
        <w:t>These emails are useful because they let the book stay focused while still giving readers a sense of the richness around the subject. Instead of forcing every good idea into the manuscript, you can save some of those smaller discoveries for thoughtful reader communication.</w:t>
      </w:r>
    </w:p>
    <w:p>
      <w:r>
        <w:t>Examples:</w:t>
      </w:r>
    </w:p>
    <w:p>
      <w:pPr>
        <w:numPr>
          <w:ilvl w:val="0"/>
          <w:numId w:val="12"/>
        </w:numPr>
        <w:spacing w:after="160" w:line="278" w:lineRule="auto"/>
      </w:pPr>
      <w:r>
        <w:t>A detail that is interesting but not central</w:t>
      </w:r>
    </w:p>
    <w:p>
      <w:pPr>
        <w:numPr>
          <w:ilvl w:val="0"/>
          <w:numId w:val="12"/>
        </w:numPr>
        <w:spacing w:after="160" w:line="278" w:lineRule="auto"/>
      </w:pPr>
      <w:r>
        <w:t>A paragraph that slowed down the manuscript</w:t>
      </w:r>
    </w:p>
    <w:p>
      <w:pPr>
        <w:numPr>
          <w:ilvl w:val="0"/>
          <w:numId w:val="12"/>
        </w:numPr>
        <w:spacing w:after="160" w:line="278" w:lineRule="auto"/>
      </w:pPr>
      <w:r>
        <w:t>A research discovery that adds texture</w:t>
      </w:r>
    </w:p>
    <w:p>
      <w:pPr>
        <w:numPr>
          <w:ilvl w:val="0"/>
          <w:numId w:val="12"/>
        </w:numPr>
        <w:spacing w:after="160" w:line="278" w:lineRule="auto"/>
      </w:pPr>
      <w:r>
        <w:t>A small observation that points back to the main message</w:t>
      </w:r>
    </w:p>
    <w:p>
      <w:pPr>
        <w:numPr>
          <w:ilvl w:val="0"/>
          <w:numId w:val="12"/>
        </w:numPr>
        <w:spacing w:after="160" w:line="278" w:lineRule="auto"/>
      </w:pPr>
      <w:r>
        <w:t>A cultural, historical, or translation note that helps readers understand the subject more clearly</w:t>
      </w:r>
    </w:p>
    <w:p/>
    <w:p>
      <w:pPr>
        <w:pStyle w:val="Heading3"/>
      </w:pPr>
      <w:r>
        <w:t>When to Use Side-Path Emails</w:t>
      </w:r>
    </w:p>
    <w:p>
      <w:r>
        <w:t>Side-path emails work best when the idea is helpful, interesting, and connected to the book, but too small or too distracting to become a main section of the manuscript.</w:t>
      </w:r>
    </w:p>
    <w:p>
      <w:r>
        <w:t>Examples:</w:t>
      </w:r>
    </w:p>
    <w:p>
      <w:pPr>
        <w:numPr>
          <w:ilvl w:val="0"/>
          <w:numId w:val="12"/>
        </w:numPr>
        <w:spacing w:after="160" w:line="278" w:lineRule="auto"/>
      </w:pPr>
      <w:r>
        <w:t>Use a short email when a detail is interesting but not central enough for the book.</w:t>
      </w:r>
    </w:p>
    <w:p>
      <w:pPr>
        <w:numPr>
          <w:ilvl w:val="0"/>
          <w:numId w:val="12"/>
        </w:numPr>
        <w:spacing w:after="160" w:line="278" w:lineRule="auto"/>
      </w:pPr>
      <w:r>
        <w:t>Remove a paragraph from the manuscript if it slows the chapter, then consider whether it could become an email.</w:t>
      </w:r>
    </w:p>
    <w:p>
      <w:pPr>
        <w:numPr>
          <w:ilvl w:val="0"/>
          <w:numId w:val="12"/>
        </w:numPr>
        <w:spacing w:after="160" w:line="278" w:lineRule="auto"/>
      </w:pPr>
      <w:r>
        <w:t>Share a research discovery if it helps readers appreciate the topic more deeply.</w:t>
      </w:r>
    </w:p>
    <w:p>
      <w:pPr>
        <w:numPr>
          <w:ilvl w:val="0"/>
          <w:numId w:val="12"/>
        </w:numPr>
        <w:spacing w:after="160" w:line="278" w:lineRule="auto"/>
      </w:pPr>
      <w:r>
        <w:t>Use a small observation to open a conversation without explaining the entire book.</w:t>
      </w:r>
    </w:p>
    <w:p>
      <w:pPr>
        <w:numPr>
          <w:ilvl w:val="0"/>
          <w:numId w:val="12"/>
        </w:numPr>
        <w:spacing w:after="160" w:line="278" w:lineRule="auto"/>
      </w:pPr>
      <w:r>
        <w:t>Save a supporting idea for readers if it adds richness without belonging in the main chapter.</w:t>
      </w:r>
    </w:p>
    <w:p>
      <w:pPr>
        <w:pStyle w:val="Heading3"/>
      </w:pPr>
      <w:r>
        <w:t>The Simple Shape</w:t>
      </w:r>
    </w:p>
    <w:p>
      <w:r>
        <w:t>A side-path email does not need to be long. It only needs to introduce the side note, explain why it caught your attention, and connect it back to the larger message of the book. The connection matters. If the side path does not lead back to the main road, it may feel random to the reader.</w:t>
      </w:r>
    </w:p>
    <w:p>
      <w:r>
        <w:t>Examples:</w:t>
      </w:r>
    </w:p>
    <w:p>
      <w:pPr>
        <w:numPr>
          <w:ilvl w:val="0"/>
          <w:numId w:val="12"/>
        </w:numPr>
        <w:spacing w:after="160" w:line="278" w:lineRule="auto"/>
      </w:pPr>
      <w:r>
        <w:t>Introduce the small discovery, note, or observation you found.</w:t>
      </w:r>
    </w:p>
    <w:p>
      <w:pPr>
        <w:numPr>
          <w:ilvl w:val="0"/>
          <w:numId w:val="12"/>
        </w:numPr>
        <w:spacing w:after="160" w:line="278" w:lineRule="auto"/>
      </w:pPr>
      <w:r>
        <w:t>Explain why this side note stood out to you while writing.</w:t>
      </w:r>
    </w:p>
    <w:p>
      <w:pPr>
        <w:numPr>
          <w:ilvl w:val="0"/>
          <w:numId w:val="12"/>
        </w:numPr>
        <w:spacing w:after="160" w:line="278" w:lineRule="auto"/>
      </w:pPr>
      <w:r>
        <w:t>Show how the side path still supports the larger message of the book.</w:t>
      </w:r>
    </w:p>
    <w:p>
      <w:pPr>
        <w:numPr>
          <w:ilvl w:val="0"/>
          <w:numId w:val="12"/>
        </w:numPr>
        <w:spacing w:after="160" w:line="278" w:lineRule="auto"/>
      </w:pPr>
      <w:r>
        <w:t>Leave readers with a small reflection, question, or insight.</w:t>
      </w:r>
    </w:p>
    <w:p>
      <w:pPr>
        <w:pStyle w:val="Heading3"/>
      </w:pPr>
      <w:r>
        <w:t>Research Notes and Discoveries</w:t>
      </w:r>
    </w:p>
    <w:p>
      <w:r>
        <w:t>Research often produces more useful material than one book can hold. Some of those discoveries help shape your thinking, but they may not need to appear in the manuscript itself.</w:t>
      </w:r>
    </w:p>
    <w:p>
      <w:r>
        <w:t>Examples:</w:t>
      </w:r>
    </w:p>
    <w:p>
      <w:pPr>
        <w:numPr>
          <w:ilvl w:val="0"/>
          <w:numId w:val="12"/>
        </w:numPr>
        <w:spacing w:after="160" w:line="278" w:lineRule="auto"/>
      </w:pPr>
      <w:r>
        <w:t>A historical detail that helped you understand the setting</w:t>
      </w:r>
    </w:p>
    <w:p>
      <w:pPr>
        <w:numPr>
          <w:ilvl w:val="0"/>
          <w:numId w:val="12"/>
        </w:numPr>
        <w:spacing w:after="160" w:line="278" w:lineRule="auto"/>
      </w:pPr>
      <w:r>
        <w:t>A quotation or source that added texture but did not fit the chapter</w:t>
      </w:r>
    </w:p>
    <w:p>
      <w:pPr>
        <w:numPr>
          <w:ilvl w:val="0"/>
          <w:numId w:val="12"/>
        </w:numPr>
        <w:spacing w:after="160" w:line="278" w:lineRule="auto"/>
      </w:pPr>
      <w:r>
        <w:t>A surprising fact that gave you a new angle on the subject</w:t>
      </w:r>
    </w:p>
    <w:p>
      <w:pPr>
        <w:numPr>
          <w:ilvl w:val="0"/>
          <w:numId w:val="12"/>
        </w:numPr>
        <w:spacing w:after="160" w:line="278" w:lineRule="auto"/>
      </w:pPr>
      <w:r>
        <w:t>A background detail that makes the topic more interesting</w:t>
      </w:r>
    </w:p>
    <w:p>
      <w:pPr>
        <w:numPr>
          <w:ilvl w:val="0"/>
          <w:numId w:val="12"/>
        </w:numPr>
        <w:spacing w:after="160" w:line="278" w:lineRule="auto"/>
      </w:pPr>
      <w:r>
        <w:t>A small discovery that would slow the book but enrich an email</w:t>
      </w:r>
    </w:p>
    <w:p>
      <w:pPr>
        <w:pStyle w:val="Heading3"/>
      </w:pPr>
      <w:r>
        <w:t>Removed Sections and Extra Material</w:t>
      </w:r>
    </w:p>
    <w:p>
      <w:r>
        <w:t>Some material gets removed from a manuscript because the book is becoming stronger and more focused. That does not mean the material has no value. It may simply belong somewhere else.</w:t>
      </w:r>
    </w:p>
    <w:p>
      <w:r>
        <w:t>Examples:</w:t>
      </w:r>
    </w:p>
    <w:p>
      <w:pPr>
        <w:numPr>
          <w:ilvl w:val="0"/>
          <w:numId w:val="12"/>
        </w:numPr>
        <w:spacing w:after="160" w:line="278" w:lineRule="auto"/>
      </w:pPr>
      <w:r>
        <w:t>A paragraph you liked but removed because it slowed the flow</w:t>
      </w:r>
    </w:p>
    <w:p>
      <w:pPr>
        <w:numPr>
          <w:ilvl w:val="0"/>
          <w:numId w:val="12"/>
        </w:numPr>
        <w:spacing w:after="160" w:line="278" w:lineRule="auto"/>
      </w:pPr>
      <w:r>
        <w:t>A story that was meaningful but did not belong in this book</w:t>
      </w:r>
    </w:p>
    <w:p>
      <w:pPr>
        <w:numPr>
          <w:ilvl w:val="0"/>
          <w:numId w:val="12"/>
        </w:numPr>
        <w:spacing w:after="160" w:line="278" w:lineRule="auto"/>
      </w:pPr>
      <w:r>
        <w:t>An explanation that became too detailed for the chapter</w:t>
      </w:r>
    </w:p>
    <w:p>
      <w:pPr>
        <w:numPr>
          <w:ilvl w:val="0"/>
          <w:numId w:val="12"/>
        </w:numPr>
        <w:spacing w:after="160" w:line="278" w:lineRule="auto"/>
      </w:pPr>
      <w:r>
        <w:t>A related topic that deserves attention but not a full section</w:t>
      </w:r>
    </w:p>
    <w:p>
      <w:pPr>
        <w:numPr>
          <w:ilvl w:val="0"/>
          <w:numId w:val="12"/>
        </w:numPr>
        <w:spacing w:after="160" w:line="278" w:lineRule="auto"/>
      </w:pPr>
      <w:r>
        <w:t>A side idea that helped you think but did not serve the main structure</w:t>
      </w:r>
    </w:p>
    <w:p>
      <w:pPr>
        <w:pStyle w:val="Heading3"/>
      </w:pPr>
      <w:r>
        <w:t>Historical, Cultural, or Background Notes</w:t>
      </w:r>
    </w:p>
    <w:p>
      <w:r>
        <w:t>Small background notes can make a subject feel richer. These work especially well for faith, memoir, leadership, history, culture, and personal growth books.</w:t>
      </w:r>
    </w:p>
    <w:p>
      <w:r>
        <w:t>Examples:</w:t>
      </w:r>
    </w:p>
    <w:p>
      <w:pPr>
        <w:numPr>
          <w:ilvl w:val="0"/>
          <w:numId w:val="12"/>
        </w:numPr>
        <w:spacing w:after="160" w:line="278" w:lineRule="auto"/>
      </w:pPr>
      <w:r>
        <w:t>A cultural detail that helps readers understand a story</w:t>
      </w:r>
    </w:p>
    <w:p>
      <w:pPr>
        <w:numPr>
          <w:ilvl w:val="0"/>
          <w:numId w:val="12"/>
        </w:numPr>
        <w:spacing w:after="160" w:line="278" w:lineRule="auto"/>
      </w:pPr>
      <w:r>
        <w:t>A translation note that opens an interesting window</w:t>
      </w:r>
    </w:p>
    <w:p>
      <w:pPr>
        <w:numPr>
          <w:ilvl w:val="0"/>
          <w:numId w:val="12"/>
        </w:numPr>
        <w:spacing w:after="160" w:line="278" w:lineRule="auto"/>
      </w:pPr>
      <w:r>
        <w:t>A historical example that supports the larger theme</w:t>
      </w:r>
    </w:p>
    <w:p>
      <w:pPr>
        <w:numPr>
          <w:ilvl w:val="0"/>
          <w:numId w:val="12"/>
        </w:numPr>
        <w:spacing w:after="160" w:line="278" w:lineRule="auto"/>
      </w:pPr>
      <w:r>
        <w:t>A detail from the era that gives emotional context</w:t>
      </w:r>
    </w:p>
    <w:p>
      <w:pPr>
        <w:numPr>
          <w:ilvl w:val="0"/>
          <w:numId w:val="12"/>
        </w:numPr>
        <w:spacing w:after="160" w:line="278" w:lineRule="auto"/>
      </w:pPr>
      <w:r>
        <w:t>A background note that makes the main idea clearer or more memorable</w:t>
      </w:r>
    </w:p>
    <w:p>
      <w:pPr>
        <w:pStyle w:val="Heading3"/>
      </w:pPr>
      <w:r>
        <w:t>Book-Type Ideas</w:t>
      </w:r>
    </w:p>
    <w:p>
      <w:r>
        <w:t>Side-path emails can work for many kinds of books. The exact material will change, but the purpose stays the same: share something interesting that still points back to the larger message.</w:t>
      </w:r>
    </w:p>
    <w:p>
      <w:r>
        <w:t>Examples:</w:t>
      </w:r>
    </w:p>
    <w:p>
      <w:pPr>
        <w:numPr>
          <w:ilvl w:val="0"/>
          <w:numId w:val="12"/>
        </w:numPr>
        <w:spacing w:after="160" w:line="278" w:lineRule="auto"/>
      </w:pPr>
      <w:r>
        <w:t>Memoir: a family phrase, old photograph, childhood location, or detail from the era that helps readers understand the emotional setting.</w:t>
      </w:r>
    </w:p>
    <w:p>
      <w:pPr>
        <w:numPr>
          <w:ilvl w:val="0"/>
          <w:numId w:val="12"/>
        </w:numPr>
        <w:spacing w:after="160" w:line="278" w:lineRule="auto"/>
      </w:pPr>
      <w:r>
        <w:t>Leadership: a historical example, meeting moment, quote, or decision-making detail that illustrates the weight of responsibility.</w:t>
      </w:r>
    </w:p>
    <w:p>
      <w:pPr>
        <w:numPr>
          <w:ilvl w:val="0"/>
          <w:numId w:val="12"/>
        </w:numPr>
        <w:spacing w:after="160" w:line="278" w:lineRule="auto"/>
      </w:pPr>
      <w:r>
        <w:t>Faith or spiritual growth: a translation note, biblical background detail, cultural context, or lesser-known example that sheds light on the theme.</w:t>
      </w:r>
    </w:p>
    <w:p>
      <w:pPr>
        <w:numPr>
          <w:ilvl w:val="0"/>
          <w:numId w:val="12"/>
        </w:numPr>
        <w:spacing w:after="160" w:line="278" w:lineRule="auto"/>
      </w:pPr>
      <w:r>
        <w:t>Practical how-to book: a tool, tip, mistake, comparison, or small discovery that helped clarify the process but does not need a full chapter.</w:t>
      </w:r>
    </w:p>
    <w:p>
      <w:pPr>
        <w:numPr>
          <w:ilvl w:val="0"/>
          <w:numId w:val="12"/>
        </w:numPr>
        <w:spacing w:after="160" w:line="278" w:lineRule="auto"/>
      </w:pPr>
      <w:r>
        <w:t>Personal growth: a small distinction, surprising research note, or removed story that still helps readers think more clearly.</w:t>
      </w:r>
    </w:p>
    <w:p>
      <w:pPr>
        <w:pStyle w:val="Heading3"/>
      </w:pPr>
      <w:r>
        <w:t>Opening Lines You Can Use</w:t>
      </w:r>
    </w:p>
    <w:p>
      <w:r>
        <w:t>These openings help readers understand that you are sharing a small but meaningful discovery from the writing journey.</w:t>
      </w:r>
    </w:p>
    <w:p>
      <w:r>
        <w:t>Examples:</w:t>
      </w:r>
    </w:p>
    <w:p>
      <w:pPr>
        <w:numPr>
          <w:ilvl w:val="0"/>
          <w:numId w:val="12"/>
        </w:numPr>
        <w:spacing w:after="160" w:line="278" w:lineRule="auto"/>
      </w:pPr>
      <w:r>
        <w:t>I came across a small detail while working on the book that I found fascinating.</w:t>
      </w:r>
    </w:p>
    <w:p>
      <w:pPr>
        <w:numPr>
          <w:ilvl w:val="0"/>
          <w:numId w:val="12"/>
        </w:numPr>
        <w:spacing w:after="160" w:line="278" w:lineRule="auto"/>
      </w:pPr>
      <w:r>
        <w:t>This probably will not become a major section in the book, but it helped me think about the topic differently.</w:t>
      </w:r>
    </w:p>
    <w:p>
      <w:pPr>
        <w:numPr>
          <w:ilvl w:val="0"/>
          <w:numId w:val="12"/>
        </w:numPr>
        <w:spacing w:after="160" w:line="278" w:lineRule="auto"/>
      </w:pPr>
      <w:r>
        <w:t>One side note from my research has stayed with me.</w:t>
      </w:r>
    </w:p>
    <w:p>
      <w:pPr>
        <w:numPr>
          <w:ilvl w:val="0"/>
          <w:numId w:val="12"/>
        </w:numPr>
        <w:spacing w:after="160" w:line="278" w:lineRule="auto"/>
      </w:pPr>
      <w:r>
        <w:t>I removed this from the chapter because it slowed the flow, but I still think it is worth sharing.</w:t>
      </w:r>
    </w:p>
    <w:p>
      <w:pPr>
        <w:numPr>
          <w:ilvl w:val="0"/>
          <w:numId w:val="12"/>
        </w:numPr>
        <w:spacing w:after="160" w:line="278" w:lineRule="auto"/>
      </w:pPr>
      <w:r>
        <w:t>This is one of those small details that does not need a whole chapter, but it does open an interesting window.</w:t>
      </w:r>
    </w:p>
    <w:p>
      <w:pPr>
        <w:pStyle w:val="Heading3"/>
      </w:pPr>
      <w:r>
        <w:t>What to Avoid</w:t>
      </w:r>
    </w:p>
    <w:p>
      <w:r>
        <w:t>A side-path email should not feel like a random rabbit trail. If the detail is interesting to you but has no clear connection to the book, save it for a different setting. Readers should be able to see why the note belongs in the larger conversation you are building with them.</w:t>
      </w:r>
    </w:p>
    <w:p>
      <w:r>
        <w:rPr>
          <w:b/>
        </w:rPr>
        <w:t>Helpful test</w:t>
      </w:r>
    </w:p>
    <w:p>
      <w:r>
        <w:t>Ask: Does this detail make the book’s main subject more interesting, clearer, richer, or more memorable?</w:t>
      </w:r>
    </w:p>
    <w:p>
      <w:r>
        <w:t>If yes, it may be a good side-path email.</w:t>
      </w:r>
    </w:p>
    <w:p>
      <w:pPr>
        <w:pStyle w:val="Heading1"/>
        <w:jc w:val="center"/>
      </w:pPr>
      <w:r>
        <w:t>Examples</w:t>
      </w:r>
    </w:p>
    <w:p>
      <w:pPr>
        <w:pStyle w:val="Heading2"/>
      </w:pPr>
      <w:r>
        <w:t>Example 1</w:t>
      </w:r>
    </w:p>
    <w:p>
      <w:pPr>
        <w:pStyle w:val="Heading3"/>
      </w:pPr>
      <w:r>
        <w:t>“A small side note about wisdom and communication”</w:t>
      </w:r>
    </w:p>
    <w:p>
      <w:r>
        <w:t>This type of email works because it shares a small discovery without pulling the reader away from the larger subject.</w:t>
      </w:r>
    </w:p>
    <w:p>
      <w:r>
        <w:t>Subject: A Small Side Note About Wisdom and Communication</w:t>
      </w:r>
    </w:p>
    <w:p>
      <w:r>
        <w:t>I came across a small observation while working on Walking in Word of Wisdom that probably will not become a major section in the book, but it has stayed with me.</w:t>
      </w:r>
    </w:p>
    <w:p>
      <w:r>
        <w:t>Matthew and Luke often communicate in different ways because they are writing for different audiences. Matthew writes with Jewish readers in mind, people who would have recognized many Old Testament references and patterns. Luke often explains details for readers who may not have shared the same background.</w:t>
      </w:r>
    </w:p>
    <w:p>
      <w:r>
        <w:t>That small distinction reminded me that wisdom is not only about knowing what is true. Wisdom also considers how truth needs to be communicated so the right people can receive it.</w:t>
      </w:r>
    </w:p>
    <w:p>
      <w:r>
        <w:t>That thought connects beautifully with the larger theme of the book. The Word of Wisdom is not merely information from God. It is direction, timing, strategy, and often the ability to communicate or act in a way that fits the moment.</w:t>
      </w:r>
    </w:p>
    <w:p>
      <w:r>
        <w:t>I am grateful you are following the journey as this book continues to take shape.</w:t>
      </w:r>
    </w:p>
    <w:p>
      <w:r>
        <w:rPr>
          <w:b/>
        </w:rPr>
        <w:t>Why this works</w:t>
      </w:r>
    </w:p>
    <w:p>
      <w:pPr>
        <w:numPr>
          <w:ilvl w:val="0"/>
          <w:numId w:val="12"/>
        </w:numPr>
        <w:spacing w:after="160" w:line="278" w:lineRule="auto"/>
      </w:pPr>
      <w:r>
        <w:t>shares one interesting observation</w:t>
      </w:r>
    </w:p>
    <w:p>
      <w:pPr>
        <w:numPr>
          <w:ilvl w:val="0"/>
          <w:numId w:val="12"/>
        </w:numPr>
        <w:spacing w:after="160" w:line="278" w:lineRule="auto"/>
      </w:pPr>
      <w:r>
        <w:t>connects the side note back to the larger book theme</w:t>
      </w:r>
    </w:p>
    <w:p>
      <w:pPr>
        <w:numPr>
          <w:ilvl w:val="0"/>
          <w:numId w:val="12"/>
        </w:numPr>
        <w:spacing w:after="160" w:line="278" w:lineRule="auto"/>
      </w:pPr>
      <w:r>
        <w:t>does not try to teach everything about Gospel audiences or ancient writing practices</w:t>
      </w:r>
    </w:p>
    <w:p>
      <w:pPr>
        <w:numPr>
          <w:ilvl w:val="0"/>
          <w:numId w:val="12"/>
        </w:numPr>
        <w:spacing w:after="160" w:line="278" w:lineRule="auto"/>
      </w:pPr>
      <w:r>
        <w:t>lets the side path support the journey without becoming the whole road</w:t>
      </w:r>
    </w:p>
    <w:p>
      <w:pPr>
        <w:pStyle w:val="Heading2"/>
      </w:pPr>
      <w:r>
        <w:t>Example 2</w:t>
      </w:r>
    </w:p>
    <w:p>
      <w:pPr>
        <w:pStyle w:val="Heading3"/>
      </w:pPr>
      <w:r>
        <w:t>“A removed paragraph that still matters”</w:t>
      </w:r>
    </w:p>
    <w:p>
      <w:r>
        <w:t>This style works well when you have cut something from the manuscript but still want to share the thought with readers.</w:t>
      </w:r>
    </w:p>
    <w:p>
      <w:r>
        <w:t>Subject: Something I Removed from the Chapter</w:t>
      </w:r>
    </w:p>
    <w:p>
      <w:r>
        <w:t>As I continue shaping this manuscript, I am learning that not every good thought belongs in the book.</w:t>
      </w:r>
    </w:p>
    <w:p>
      <w:r>
        <w:t>This week I removed a paragraph I liked because it slowed down the chapter. The point was interesting, but it pulled the reader away from the main direction of the section. Once I took it out, the chapter became clearer and easier to follow.</w:t>
      </w:r>
    </w:p>
    <w:p>
      <w:r>
        <w:t>That reminded me that focus is not only important in writing. It is important in life as well. Sometimes we can carry good ideas, good opportunities, and even good responsibilities that do not belong in this particular season or assignment.</w:t>
      </w:r>
    </w:p>
    <w:p>
      <w:r>
        <w:t>Removing the paragraph did not mean the idea was bad. It simply meant it was not serving this book in the right way.</w:t>
      </w:r>
    </w:p>
    <w:p>
      <w:r>
        <w:t>I think that may be one of the quiet disciplines of wisdom: recognizing not only what is good, but what belongs.</w:t>
      </w:r>
    </w:p>
    <w:p>
      <w:r>
        <w:rPr>
          <w:b/>
        </w:rPr>
        <w:t>Why this works</w:t>
      </w:r>
    </w:p>
    <w:p>
      <w:pPr>
        <w:numPr>
          <w:ilvl w:val="0"/>
          <w:numId w:val="12"/>
        </w:numPr>
        <w:spacing w:after="160" w:line="278" w:lineRule="auto"/>
      </w:pPr>
      <w:r>
        <w:t>turns an editing decision into a meaningful reader reflection</w:t>
      </w:r>
    </w:p>
    <w:p>
      <w:pPr>
        <w:numPr>
          <w:ilvl w:val="0"/>
          <w:numId w:val="12"/>
        </w:numPr>
        <w:spacing w:after="160" w:line="278" w:lineRule="auto"/>
      </w:pPr>
      <w:r>
        <w:t>shows readers how the book is becoming stronger</w:t>
      </w:r>
    </w:p>
    <w:p>
      <w:pPr>
        <w:numPr>
          <w:ilvl w:val="0"/>
          <w:numId w:val="12"/>
        </w:numPr>
        <w:spacing w:after="160" w:line="278" w:lineRule="auto"/>
      </w:pPr>
      <w:r>
        <w:t>connects a side-path detail to the larger theme of wisdom and focus</w:t>
      </w:r>
    </w:p>
    <w:p>
      <w:pPr>
        <w:numPr>
          <w:ilvl w:val="0"/>
          <w:numId w:val="12"/>
        </w:numPr>
        <w:spacing w:after="160" w:line="278" w:lineRule="auto"/>
      </w:pPr>
      <w:r>
        <w:t>keeps the email short and thoughtful</w:t>
      </w:r>
    </w:p>
    <w:p>
      <w:pPr>
        <w:pStyle w:val="Heading2"/>
      </w:pPr>
      <w:r>
        <w:t>Example 3</w:t>
      </w:r>
    </w:p>
    <w:p>
      <w:pPr>
        <w:pStyle w:val="Heading3"/>
      </w:pPr>
      <w:r>
        <w:t>“A small detail that opens a window”</w:t>
      </w:r>
    </w:p>
    <w:p>
      <w:r>
        <w:t>This style works because it lets readers enjoy a small discovery that adds richness to the book’s subject.</w:t>
      </w:r>
    </w:p>
    <w:p>
      <w:r>
        <w:t>Subject: A Detail That Opened an Interesting Window</w:t>
      </w:r>
    </w:p>
    <w:p>
      <w:r>
        <w:t>One of the small details I have been thinking about while working on this book is how often wisdom appears before the crisis fully arrives.</w:t>
      </w:r>
    </w:p>
    <w:p>
      <w:r>
        <w:t>In Joseph’s story, the wisdom did not come after Egypt was already desperate. It came during the years of plenty, while there was still time to prepare. That may seem like a small timing detail, but it changes how I think about the whole story.</w:t>
      </w:r>
    </w:p>
    <w:p>
      <w:r>
        <w:t>Wisdom is not always dramatic in the moment it arrives. Sometimes it looks like preparation, storage, organization, patience, and faithful attention before anyone else feels the urgency.</w:t>
      </w:r>
    </w:p>
    <w:p>
      <w:r>
        <w:t>That side note probably does not need its own chapter, but it has helped me see the story with fresh eyes. Sometimes the quiet preparation season is part of the wisdom God is giving.</w:t>
      </w:r>
    </w:p>
    <w:p>
      <w:r>
        <w:rPr>
          <w:b/>
        </w:rPr>
        <w:t>Why this works</w:t>
      </w:r>
    </w:p>
    <w:p>
      <w:pPr>
        <w:numPr>
          <w:ilvl w:val="0"/>
          <w:numId w:val="12"/>
        </w:numPr>
        <w:spacing w:after="160" w:line="278" w:lineRule="auto"/>
      </w:pPr>
      <w:r>
        <w:t>draws attention to a small but meaningful observation</w:t>
      </w:r>
    </w:p>
    <w:p>
      <w:pPr>
        <w:numPr>
          <w:ilvl w:val="0"/>
          <w:numId w:val="12"/>
        </w:numPr>
        <w:spacing w:after="160" w:line="278" w:lineRule="auto"/>
      </w:pPr>
      <w:r>
        <w:t>connects timing and preparation to the book’s larger message</w:t>
      </w:r>
    </w:p>
    <w:p>
      <w:pPr>
        <w:numPr>
          <w:ilvl w:val="0"/>
          <w:numId w:val="12"/>
        </w:numPr>
        <w:spacing w:after="160" w:line="278" w:lineRule="auto"/>
      </w:pPr>
      <w:r>
        <w:t>creates curiosity without overexplaining the topic</w:t>
      </w:r>
    </w:p>
    <w:p>
      <w:pPr>
        <w:numPr>
          <w:ilvl w:val="0"/>
          <w:numId w:val="12"/>
        </w:numPr>
        <w:spacing w:after="160" w:line="278" w:lineRule="auto"/>
      </w:pPr>
      <w:r>
        <w:t>gives readers a reflective thought they can carry with them</w:t>
      </w:r>
    </w:p>
    <w:p>
      <w:pPr>
        <w:pStyle w:val="Heading1"/>
        <w:jc w:val="center"/>
      </w:pPr>
      <w:r>
        <w:t>Side-Path Email Worksheet</w:t>
      </w:r>
    </w:p>
    <w:p>
      <w:r>
        <w:t>Use these prompts to turn one side note into a possible reader email. Keep your answers simple. You are only gathering the pieces you need before writing.</w:t>
      </w:r>
    </w:p>
    <w:p>
      <w:pPr>
        <w:numPr>
          <w:ilvl w:val="0"/>
          <w:numId w:val="12"/>
        </w:numPr>
        <w:spacing w:after="160" w:line="278" w:lineRule="auto"/>
      </w:pPr>
      <w:r>
        <w:t>The side-path idea:</w:t>
      </w:r>
    </w:p>
    <w:p>
      <w:pPr>
        <w:numPr>
          <w:ilvl w:val="0"/>
          <w:numId w:val="12"/>
        </w:numPr>
        <w:spacing w:after="160" w:line="278" w:lineRule="auto"/>
      </w:pPr>
      <w:r>
        <w:t>Where it came from: research notes, a removed paragraph, a conversation, Scripture study, a memory, an example, an article, an interview, or another source.</w:t>
      </w:r>
    </w:p>
    <w:p>
      <w:pPr>
        <w:numPr>
          <w:ilvl w:val="0"/>
          <w:numId w:val="12"/>
        </w:numPr>
        <w:spacing w:after="160" w:line="278" w:lineRule="auto"/>
      </w:pPr>
      <w:r>
        <w:t>Why it caught my attention:</w:t>
      </w:r>
    </w:p>
    <w:p>
      <w:pPr>
        <w:numPr>
          <w:ilvl w:val="0"/>
          <w:numId w:val="12"/>
        </w:numPr>
        <w:spacing w:after="160" w:line="278" w:lineRule="auto"/>
      </w:pPr>
      <w:r>
        <w:t>Why it does not need to be a major part of the book:</w:t>
      </w:r>
    </w:p>
    <w:p>
      <w:pPr>
        <w:numPr>
          <w:ilvl w:val="0"/>
          <w:numId w:val="12"/>
        </w:numPr>
        <w:spacing w:after="160" w:line="278" w:lineRule="auto"/>
      </w:pPr>
      <w:r>
        <w:t>How it connects to the larger message:</w:t>
      </w:r>
    </w:p>
    <w:p>
      <w:pPr>
        <w:numPr>
          <w:ilvl w:val="0"/>
          <w:numId w:val="12"/>
        </w:numPr>
        <w:spacing w:after="160" w:line="278" w:lineRule="auto"/>
      </w:pPr>
      <w:r>
        <w:t>The thought or question I could leave with readers:</w:t>
      </w:r>
    </w:p>
    <w:p>
      <w:pPr>
        <w:pStyle w:val="Heading3"/>
      </w:pPr>
      <w:r>
        <w:t>Remember</w:t>
      </w:r>
    </w:p>
    <w:p>
      <w:r>
        <w:t>Not every good idea has to fit inside the manuscript. Some ideas serve the book best by becoming thoughtful conversations with readers along the way.</w:t>
      </w:r>
    </w:p>
    <w:sectPr w:rsidR="002C2E2B" w:rsidSect="00034616">
      <w:headerReference w:type="default" r:id="rId9"/>
      <w:footerReference w:type="default" r:id="rId10"/>
      <w:headerReference w:type="first" r:id="rId11"/>
      <w:footerReference w:type="first" r:id="rId12"/>
      <w:pgSz w:w="12240" w:h="15840"/>
      <w:pgMar w:top="979" w:right="1267" w:bottom="979" w:left="1267"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AC29D" w14:textId="77777777" w:rsidR="00841023" w:rsidRDefault="00841023">
      <w:pPr>
        <w:spacing w:after="0" w:line="240" w:lineRule="auto"/>
      </w:pPr>
      <w:r>
        <w:separator/>
      </w:r>
    </w:p>
  </w:endnote>
  <w:endnote w:type="continuationSeparator" w:id="0">
    <w:p w14:paraId="0588494C" w14:textId="77777777" w:rsidR="00841023" w:rsidRDefault="00841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re Baskerville">
    <w:charset w:val="00"/>
    <w:family w:val="auto"/>
    <w:pitch w:val="variable"/>
    <w:sig w:usb0="A00000B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3024"/>
      <w:gridCol w:w="5256"/>
      <w:gridCol w:w="1426"/>
    </w:tblGrid>
    <w:tr w:rsidR="00C85301" w14:paraId="4BEE11D4" w14:textId="77777777">
      <w:trPr>
        <w:jc w:val="center"/>
      </w:trPr>
      <w:tc>
        <w:tcPr>
          <w:tcW w:w="3024" w:type="dxa"/>
          <w:tcBorders>
            <w:top w:val="single" w:sz="6" w:space="0" w:color="D9DEE3"/>
          </w:tcBorders>
        </w:tcPr>
        <w:p w14:paraId="689DEC11" w14:textId="77777777" w:rsidR="00C85301" w:rsidRDefault="008B4337">
          <w:r>
            <w:rPr>
              <w:b/>
              <w:color w:val="082B52"/>
              <w:sz w:val="17"/>
            </w:rPr>
            <w:t>Create Great Books</w:t>
          </w:r>
        </w:p>
      </w:tc>
      <w:tc>
        <w:tcPr>
          <w:tcW w:w="5256" w:type="dxa"/>
          <w:tcBorders>
            <w:top w:val="single" w:sz="6" w:space="0" w:color="D9DEE3"/>
          </w:tcBorders>
        </w:tcPr>
        <w:p w14:paraId="0D764469" w14:textId="77777777" w:rsidR="00C85301" w:rsidRDefault="008B4337">
          <w:pPr>
            <w:jc w:val="center"/>
          </w:pPr>
          <w:r>
            <w:rPr>
              <w:color w:val="666666"/>
              <w:sz w:val="16"/>
            </w:rPr>
            <w:t>© 2026 Create Great Books. All rights reserved.</w:t>
          </w:r>
        </w:p>
      </w:tc>
      <w:tc>
        <w:tcPr>
          <w:tcW w:w="1426" w:type="dxa"/>
          <w:tcBorders>
            <w:top w:val="single" w:sz="6" w:space="0" w:color="D9DEE3"/>
          </w:tcBorders>
        </w:tcPr>
        <w:p w14:paraId="0D2B29C5" w14:textId="0FFD8E26" w:rsidR="00C85301" w:rsidRDefault="008B4337">
          <w:pPr>
            <w:jc w:val="right"/>
          </w:pPr>
          <w:r>
            <w:rPr>
              <w:color w:val="666666"/>
              <w:sz w:val="17"/>
            </w:rPr>
            <w:t xml:space="preserve">Page </w:t>
          </w:r>
          <w:r>
            <w:rPr>
              <w:color w:val="666666"/>
              <w:sz w:val="17"/>
            </w:rPr>
            <w:fldChar w:fldCharType="begin"/>
          </w:r>
          <w:r>
            <w:rPr>
              <w:color w:val="666666"/>
              <w:sz w:val="17"/>
            </w:rPr>
            <w:instrText>PAGE</w:instrText>
          </w:r>
          <w:r>
            <w:rPr>
              <w:color w:val="666666"/>
              <w:sz w:val="17"/>
            </w:rPr>
            <w:fldChar w:fldCharType="separate"/>
          </w:r>
          <w:r w:rsidR="00C60248">
            <w:rPr>
              <w:noProof/>
              <w:color w:val="666666"/>
              <w:sz w:val="17"/>
            </w:rPr>
            <w:t>0</w:t>
          </w:r>
          <w:r>
            <w:rPr>
              <w:color w:val="666666"/>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D656" w14:textId="77777777" w:rsidR="00C85301" w:rsidRDefault="008B4337">
    <w:pPr>
      <w:pStyle w:val="Footer"/>
      <w:pBdr>
        <w:top w:val="single" w:sz="6" w:space="4" w:color="D9DEE3"/>
      </w:pBdr>
      <w:jc w:val="center"/>
    </w:pPr>
    <w:r>
      <w:rPr>
        <w:color w:val="666666"/>
        <w:sz w:val="15"/>
      </w:rPr>
      <w:t>© 2026 Create Great Books. All rights reserved. For the personal use of the enrolled course member. Not for redistribution or republication.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84E90" w14:textId="77777777" w:rsidR="00841023" w:rsidRDefault="00841023">
      <w:pPr>
        <w:spacing w:after="0" w:line="240" w:lineRule="auto"/>
      </w:pPr>
      <w:r>
        <w:separator/>
      </w:r>
    </w:p>
  </w:footnote>
  <w:footnote w:type="continuationSeparator" w:id="0">
    <w:p w14:paraId="2D470A54" w14:textId="77777777" w:rsidR="00841023" w:rsidRDefault="00841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936"/>
      <w:gridCol w:w="8770"/>
    </w:tblGrid>
    <w:tr w:rsidR="00C85301" w14:paraId="4A42091D" w14:textId="77777777">
      <w:trPr>
        <w:jc w:val="center"/>
      </w:trPr>
      <w:tc>
        <w:tcPr>
          <w:tcW w:w="936" w:type="dxa"/>
          <w:tcBorders>
            <w:bottom w:val="single" w:sz="8" w:space="0" w:color="C6A04B"/>
          </w:tcBorders>
        </w:tcPr>
        <w:p w14:paraId="790887D9" w14:textId="77777777" w:rsidR="00C85301" w:rsidRDefault="008B4337">
          <w:r>
            <w:rPr>
              <w:noProof/>
            </w:rPr>
            <w:drawing>
              <wp:inline distT="0" distB="0" distL="0" distR="0" wp14:anchorId="527052FD" wp14:editId="3A2C9099">
                <wp:extent cx="365760" cy="295737"/>
                <wp:effectExtent l="0" t="0" r="0" b="0"/>
                <wp:docPr id="443564707" name="Picture 443564707" descr="Open book and pen-nib Create Great Books logo." title="Create Great Boo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b_icon_logo.png"/>
                        <pic:cNvPicPr/>
                      </pic:nvPicPr>
                      <pic:blipFill>
                        <a:blip r:embed="rId1"/>
                        <a:stretch>
                          <a:fillRect/>
                        </a:stretch>
                      </pic:blipFill>
                      <pic:spPr>
                        <a:xfrm>
                          <a:off x="0" y="0"/>
                          <a:ext cx="365760" cy="295737"/>
                        </a:xfrm>
                        <a:prstGeom prst="rect">
                          <a:avLst/>
                        </a:prstGeom>
                      </pic:spPr>
                    </pic:pic>
                  </a:graphicData>
                </a:graphic>
              </wp:inline>
            </w:drawing>
          </w:r>
        </w:p>
      </w:tc>
      <w:tc>
        <w:tcPr>
          <w:tcW w:w="8770" w:type="dxa"/>
          <w:tcBorders>
            <w:bottom w:val="single" w:sz="8" w:space="0" w:color="C6A04B"/>
          </w:tcBorders>
        </w:tcPr>
        <w:p w14:paraId="57509A73" w14:textId="77777777" w:rsidR="00C85301" w:rsidRDefault="008B4337">
          <w:pPr>
            <w:jc w:val="right"/>
          </w:pPr>
          <w:r>
            <w:rPr>
              <w:b/>
              <w:color w:val="082B52"/>
              <w:sz w:val="17"/>
            </w:rPr>
            <w:t>BUILD YOUR READER LIST WHILE YOU WRITE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73BE" w14:textId="77777777" w:rsidR="00C85301" w:rsidRDefault="00C85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6E4538"/>
    <w:multiLevelType w:val="multilevel"/>
    <w:tmpl w:val="6DDC2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67730"/>
    <w:multiLevelType w:val="multilevel"/>
    <w:tmpl w:val="9DE8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7D6EC3"/>
    <w:multiLevelType w:val="multilevel"/>
    <w:tmpl w:val="0492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094C89"/>
    <w:multiLevelType w:val="multilevel"/>
    <w:tmpl w:val="BAEA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0C52E8"/>
    <w:multiLevelType w:val="multilevel"/>
    <w:tmpl w:val="AFCA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620CAA"/>
    <w:multiLevelType w:val="multilevel"/>
    <w:tmpl w:val="0C5E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FB3247"/>
    <w:multiLevelType w:val="multilevel"/>
    <w:tmpl w:val="2D8A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E06F00"/>
    <w:multiLevelType w:val="multilevel"/>
    <w:tmpl w:val="2672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4D4222"/>
    <w:multiLevelType w:val="multilevel"/>
    <w:tmpl w:val="BFAE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AD0359"/>
    <w:multiLevelType w:val="multilevel"/>
    <w:tmpl w:val="2A9A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8902F2"/>
    <w:multiLevelType w:val="multilevel"/>
    <w:tmpl w:val="70D8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282CD5"/>
    <w:multiLevelType w:val="multilevel"/>
    <w:tmpl w:val="5EBC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7048414">
    <w:abstractNumId w:val="8"/>
  </w:num>
  <w:num w:numId="2" w16cid:durableId="737048821">
    <w:abstractNumId w:val="6"/>
  </w:num>
  <w:num w:numId="3" w16cid:durableId="1866940510">
    <w:abstractNumId w:val="5"/>
  </w:num>
  <w:num w:numId="4" w16cid:durableId="14811310">
    <w:abstractNumId w:val="4"/>
  </w:num>
  <w:num w:numId="5" w16cid:durableId="1724864955">
    <w:abstractNumId w:val="7"/>
  </w:num>
  <w:num w:numId="6" w16cid:durableId="1431704744">
    <w:abstractNumId w:val="3"/>
  </w:num>
  <w:num w:numId="7" w16cid:durableId="665089585">
    <w:abstractNumId w:val="2"/>
  </w:num>
  <w:num w:numId="8" w16cid:durableId="690911853">
    <w:abstractNumId w:val="1"/>
  </w:num>
  <w:num w:numId="9" w16cid:durableId="533737799">
    <w:abstractNumId w:val="0"/>
  </w:num>
  <w:num w:numId="10" w16cid:durableId="663706061">
    <w:abstractNumId w:val="12"/>
  </w:num>
  <w:num w:numId="11" w16cid:durableId="1917938366">
    <w:abstractNumId w:val="11"/>
  </w:num>
  <w:num w:numId="12" w16cid:durableId="533926426">
    <w:abstractNumId w:val="18"/>
  </w:num>
  <w:num w:numId="13" w16cid:durableId="798063714">
    <w:abstractNumId w:val="10"/>
  </w:num>
  <w:num w:numId="14" w16cid:durableId="202331546">
    <w:abstractNumId w:val="9"/>
  </w:num>
  <w:num w:numId="15" w16cid:durableId="1450123995">
    <w:abstractNumId w:val="15"/>
  </w:num>
  <w:num w:numId="16" w16cid:durableId="813789964">
    <w:abstractNumId w:val="17"/>
  </w:num>
  <w:num w:numId="17" w16cid:durableId="1679888821">
    <w:abstractNumId w:val="19"/>
  </w:num>
  <w:num w:numId="18" w16cid:durableId="2101176698">
    <w:abstractNumId w:val="20"/>
  </w:num>
  <w:num w:numId="19" w16cid:durableId="506748612">
    <w:abstractNumId w:val="14"/>
  </w:num>
  <w:num w:numId="20" w16cid:durableId="71051664">
    <w:abstractNumId w:val="16"/>
  </w:num>
  <w:num w:numId="21" w16cid:durableId="20021968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2E2B"/>
    <w:rsid w:val="00326F90"/>
    <w:rsid w:val="00395BFC"/>
    <w:rsid w:val="00431101"/>
    <w:rsid w:val="00841023"/>
    <w:rsid w:val="008B4337"/>
    <w:rsid w:val="00AA1D8D"/>
    <w:rsid w:val="00B07CD7"/>
    <w:rsid w:val="00B47730"/>
    <w:rsid w:val="00C60248"/>
    <w:rsid w:val="00C85301"/>
    <w:rsid w:val="00CB0664"/>
    <w:rsid w:val="00EC52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79FB907-4540-4951-91C6-8C429C92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Cs/>
      <w:color w:val="082B52"/>
      <w:sz w:val="36"/>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bCs/>
      <w:color w:val="082B52"/>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C6A04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before="120" w:line="240" w:lineRule="auto"/>
      <w:contextualSpacing/>
      <w:jc w:val="center"/>
    </w:pPr>
    <w:rPr>
      <w:rFonts w:asciiTheme="majorHAnsi" w:eastAsiaTheme="majorEastAsia" w:hAnsiTheme="majorHAnsi" w:cstheme="majorBidi"/>
      <w:color w:val="082B52"/>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jc w:val="center"/>
    </w:pPr>
    <w:rPr>
      <w:rFonts w:asciiTheme="majorHAnsi" w:eastAsiaTheme="majorEastAsia" w:hAnsiTheme="majorHAnsi" w:cstheme="majorBidi"/>
      <w:i/>
      <w:iCs/>
      <w:color w:val="C6A04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20" w:after="160"/>
      <w:ind w:left="504" w:right="504"/>
    </w:pPr>
    <w:rPr>
      <w:rFonts w:ascii="Libre Baskerville" w:hAnsi="Libre Baskerville"/>
      <w:i/>
      <w:iCs/>
      <w:color w:val="082B52"/>
      <w:sz w:val="2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mplateGuidance">
    <w:name w:val="Template Guidance"/>
    <w:pPr>
      <w:spacing w:after="100"/>
    </w:pPr>
    <w:rPr>
      <w:rFonts w:ascii="Aptos" w:hAnsi="Aptos"/>
      <w:i/>
      <w:color w:val="666666"/>
      <w:sz w:val="17"/>
    </w:rPr>
  </w:style>
  <w:style w:type="paragraph" w:customStyle="1" w:styleId="CGBLeadParagraph">
    <w:name w:val="CGB Lead Paragraph"/>
    <w:pPr>
      <w:spacing w:after="160" w:line="269" w:lineRule="auto"/>
    </w:pPr>
    <w:rPr>
      <w:rFonts w:ascii="Aptos" w:hAnsi="Aptos"/>
      <w:color w:val="333333"/>
      <w:sz w:val="23"/>
    </w:rPr>
  </w:style>
  <w:style w:type="paragraph" w:styleId="NormalWeb">
    <w:name w:val="Normal (Web)"/>
    <w:basedOn w:val="Normal"/>
    <w:uiPriority w:val="99"/>
    <w:semiHidden/>
    <w:unhideWhenUsed/>
    <w:rsid w:val="002C2E2B"/>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928</Words>
  <Characters>5293</Characters>
  <Application>Microsoft Office Word</Application>
  <DocSecurity>0</DocSecurity>
  <Lines>211</Lines>
  <Paragraphs>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Great Books Course Resource Master Template</dc:title>
  <dc:subject>Build Your Reader List While You Write branded course document template</dc:subject>
  <dc:creator>Create Great Books</dc:creator>
  <cp:keywords>Create Great Books, course resource, template, author</cp:keywords>
  <dc:description>Reusable branded master document for course resources.</dc:description>
  <cp:lastModifiedBy>Brian Wentroble</cp:lastModifiedBy>
  <cp:revision>2</cp:revision>
  <dcterms:created xsi:type="dcterms:W3CDTF">2026-07-27T18:03:00Z</dcterms:created>
  <dcterms:modified xsi:type="dcterms:W3CDTF">2026-07-27T18:03:00Z</dcterms:modified>
  <cp:category/>
</cp:coreProperties>
</file>