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yebrow"/>
        <w:keepNext/>
        <w:spacing w:before="120" w:after="60"/>
      </w:pPr>
      <w:r>
        <w:t>COMPLETED EXAMPLE  /  RACHEL (FICTIONAL)</w:t>
      </w:r>
    </w:p>
    <w:p>
      <w:pPr>
        <w:pStyle w:val="ResourceTitle"/>
      </w:pPr>
      <w:r>
        <w:t>Working Journal Definition</w:t>
      </w:r>
    </w:p>
    <w:p>
      <w:pPr>
        <w:spacing w:after="180" w:line="271" w:lineRule="auto"/>
      </w:pPr>
      <w:r>
        <w:rPr>
          <w:rFonts w:ascii="Inter" w:hAnsi="Inter"/>
          <w:b w:val="0"/>
          <w:color w:val="5E6B78"/>
          <w:sz w:val="19"/>
        </w:rPr>
        <w:t>Rachel’s provisional Week Two definition for Trusting God in Uncertain Times. These are working decisions, not a finished plan.</w:t>
      </w:r>
    </w:p>
    <w:p>
      <w:pPr>
        <w:spacing w:before="100" w:after="200"/>
      </w:pPr>
      <w:r>
        <w:rPr>
          <w:rFonts w:ascii="Inter" w:hAnsi="Inter"/>
          <w:b/>
          <w:color w:val="B8862B"/>
          <w:sz w:val="17"/>
        </w:rPr>
        <w:t xml:space="preserve">WORKING TITLE (OPTIONAL)   </w:t>
      </w:r>
      <w:r>
        <w:rPr>
          <w:rFonts w:ascii="Inter" w:hAnsi="Inter"/>
          <w:color w:val="183B58"/>
          <w:sz w:val="18"/>
        </w:rPr>
        <w:t>Trusting God in Uncertain Times</w:t>
      </w:r>
    </w:p>
    <w:p>
      <w:pPr>
        <w:pStyle w:val="ResourceHeading"/>
        <w:keepNext/>
        <w:spacing w:before="200"/>
      </w:pPr>
      <w:r>
        <w:rPr>
          <w:rFonts w:ascii="Inter" w:hAnsi="Inter"/>
          <w:b/>
          <w:color w:val="B8862B"/>
          <w:sz w:val="18"/>
        </w:rPr>
        <w:t xml:space="preserve">01  </w:t>
      </w:r>
      <w:r>
        <w:t>Your central message</w:t>
      </w:r>
    </w:p>
    <w:p>
      <w:pPr>
        <w:spacing w:after="100" w:line="271" w:lineRule="auto"/>
      </w:pPr>
      <w:r>
        <w:rPr>
          <w:rFonts w:ascii="Inter" w:hAnsi="Inter"/>
          <w:b w:val="0"/>
          <w:color w:val="5E6B78"/>
          <w:sz w:val="18"/>
        </w:rPr>
        <w:t>What biblical truth or spiritual concern will connect your 30 daily entries?</w:t>
      </w:r>
    </w:p>
    <w:tbl>
      <w:tblPr>
        <w:tblW w:type="auto" w:w="0"/>
        <w:tblLayout w:type="fixed"/>
        <w:tblLook w:firstColumn="1" w:firstRow="1" w:lastColumn="0" w:lastRow="0" w:noHBand="0" w:noVBand="1" w:val="04A0"/>
      </w:tblPr>
      <w:tblGrid>
        <w:gridCol w:w="10008"/>
      </w:tblGrid>
      <w:tr>
        <w:trPr>
          <w:trHeight w:val="1440" w:hRule="atLeast"/>
        </w:trPr>
        <w:tc>
          <w:tcPr>
            <w:tcW w:type="dxa" w:w="10022"/>
            <w:vAlign w:val="center"/>
            <w:shd w:fill="F8F6F2"/>
            <w:tcBorders>
              <w:left w:val="single" w:color="B8862B" w:sz="14"/>
              <w:bottom w:val="single" w:color="DCD4C8" w:sz="4"/>
              <w:top w:val="single" w:color="DCD4C8" w:sz="3"/>
              <w:right w:val="single" w:color="DCD4C8" w:sz="3"/>
            </w:tcBorders>
            <w:tcMar>
              <w:top w:w="160" w:type="dxa"/>
              <w:bottom w:w="135" w:type="dxa"/>
              <w:left w:w="170" w:type="dxa"/>
              <w:right w:w="160" w:type="dxa"/>
            </w:tcMar>
          </w:tcPr>
          <w:p>
            <w:pPr>
              <w:spacing w:after="0" w:line="276" w:lineRule="auto"/>
            </w:pPr>
            <w:r>
              <w:rPr>
                <w:rFonts w:ascii="Inter" w:hAnsi="Inter"/>
                <w:color w:val="183B58"/>
                <w:sz w:val="19"/>
              </w:rPr>
              <w:t>I want to help Christians explore what it means to trust God when they don’t know how their circumstances will turn out. The journal could help readers examine their concerns, remember what Scripture teaches about God’s character, and consider how to respond faithfully.</w:t>
            </w:r>
          </w:p>
        </w:tc>
      </w:tr>
    </w:tbl>
    <w:p>
      <w:pPr>
        <w:pStyle w:val="ResourceHeading"/>
        <w:keepNext/>
        <w:spacing w:before="200"/>
      </w:pPr>
      <w:r>
        <w:rPr>
          <w:rFonts w:ascii="Inter" w:hAnsi="Inter"/>
          <w:b/>
          <w:color w:val="B8862B"/>
          <w:sz w:val="18"/>
        </w:rPr>
        <w:t xml:space="preserve">02  </w:t>
      </w:r>
      <w:r>
        <w:t>Your intended readers</w:t>
      </w:r>
    </w:p>
    <w:p>
      <w:pPr>
        <w:spacing w:after="100" w:line="271" w:lineRule="auto"/>
      </w:pPr>
      <w:r>
        <w:rPr>
          <w:rFonts w:ascii="Inter" w:hAnsi="Inter"/>
          <w:b w:val="0"/>
          <w:color w:val="5E6B78"/>
          <w:sz w:val="18"/>
        </w:rPr>
        <w:t>Who might particularly benefit from this journal, and what are they facing or seeking?</w:t>
      </w:r>
    </w:p>
    <w:tbl>
      <w:tblPr>
        <w:tblW w:type="auto" w:w="0"/>
        <w:tblLayout w:type="fixed"/>
        <w:tblLook w:firstColumn="1" w:firstRow="1" w:lastColumn="0" w:lastRow="0" w:noHBand="0" w:noVBand="1" w:val="04A0"/>
      </w:tblPr>
      <w:tblGrid>
        <w:gridCol w:w="10008"/>
      </w:tblGrid>
      <w:tr>
        <w:trPr>
          <w:trHeight w:val="1469" w:hRule="atLeast"/>
        </w:trPr>
        <w:tc>
          <w:tcPr>
            <w:tcW w:type="dxa" w:w="10022"/>
            <w:vAlign w:val="center"/>
            <w:shd w:fill="F8F6F2"/>
            <w:tcBorders>
              <w:left w:val="single" w:color="B8862B" w:sz="14"/>
              <w:bottom w:val="single" w:color="DCD4C8" w:sz="4"/>
              <w:top w:val="single" w:color="DCD4C8" w:sz="3"/>
              <w:right w:val="single" w:color="DCD4C8" w:sz="3"/>
            </w:tcBorders>
            <w:tcMar>
              <w:top w:w="160" w:type="dxa"/>
              <w:bottom w:w="135" w:type="dxa"/>
              <w:left w:w="170" w:type="dxa"/>
              <w:right w:w="160" w:type="dxa"/>
            </w:tcMar>
          </w:tcPr>
          <w:p>
            <w:pPr>
              <w:spacing w:after="0" w:line="276" w:lineRule="auto"/>
            </w:pPr>
            <w:r>
              <w:rPr>
                <w:rFonts w:ascii="Inter" w:hAnsi="Inter"/>
                <w:color w:val="183B58"/>
                <w:sz w:val="19"/>
              </w:rPr>
              <w:t>I’m writing primarily for Christians who are facing uncertain circumstances and want to learn how to trust God while they wait, make decisions, or deal with situations beyond their control. They may already understand that God is faithful but struggle to apply that truth when they don’t know what will happen next.</w:t>
            </w:r>
          </w:p>
        </w:tc>
      </w:tr>
    </w:tbl>
    <w:p>
      <w:pPr>
        <w:pStyle w:val="ResourceHeading"/>
        <w:keepNext/>
        <w:spacing w:before="200"/>
      </w:pPr>
      <w:r>
        <w:rPr>
          <w:rFonts w:ascii="Inter" w:hAnsi="Inter"/>
          <w:b/>
          <w:color w:val="B8862B"/>
          <w:sz w:val="18"/>
        </w:rPr>
        <w:t xml:space="preserve">03  </w:t>
      </w:r>
      <w:r>
        <w:t>Your desired reader outcome</w:t>
      </w:r>
    </w:p>
    <w:p>
      <w:pPr>
        <w:spacing w:after="100" w:line="271" w:lineRule="auto"/>
      </w:pPr>
      <w:r>
        <w:rPr>
          <w:rFonts w:ascii="Inter" w:hAnsi="Inter"/>
          <w:b w:val="0"/>
          <w:color w:val="5E6B78"/>
          <w:sz w:val="18"/>
        </w:rPr>
        <w:t>What understanding, personal reflection, and response do you hope to encourage?</w:t>
      </w:r>
    </w:p>
    <w:tbl>
      <w:tblPr>
        <w:tblW w:type="auto" w:w="0"/>
        <w:tblLayout w:type="fixed"/>
        <w:tblLook w:firstColumn="1" w:firstRow="1" w:lastColumn="0" w:lastRow="0" w:noHBand="0" w:noVBand="1" w:val="04A0"/>
      </w:tblPr>
      <w:tblGrid>
        <w:gridCol w:w="10008"/>
      </w:tblGrid>
      <w:tr>
        <w:trPr>
          <w:trHeight w:val="1440" w:hRule="atLeast"/>
        </w:trPr>
        <w:tc>
          <w:tcPr>
            <w:tcW w:type="dxa" w:w="10022"/>
            <w:vAlign w:val="center"/>
            <w:shd w:fill="F8F6F2"/>
            <w:tcBorders>
              <w:left w:val="single" w:color="B8862B" w:sz="14"/>
              <w:bottom w:val="single" w:color="DCD4C8" w:sz="4"/>
              <w:top w:val="single" w:color="DCD4C8" w:sz="3"/>
              <w:right w:val="single" w:color="DCD4C8" w:sz="3"/>
            </w:tcBorders>
            <w:tcMar>
              <w:top w:w="160" w:type="dxa"/>
              <w:bottom w:w="135" w:type="dxa"/>
              <w:left w:w="170" w:type="dxa"/>
              <w:right w:w="160" w:type="dxa"/>
            </w:tcMar>
          </w:tcPr>
          <w:p>
            <w:pPr>
              <w:spacing w:after="0" w:line="276" w:lineRule="auto"/>
            </w:pPr>
            <w:r>
              <w:rPr>
                <w:rFonts w:ascii="Inter" w:hAnsi="Inter"/>
                <w:color w:val="183B58"/>
                <w:sz w:val="19"/>
              </w:rPr>
              <w:t>Through this journal, I want to help Christians examine the uncertainties they’re facing in light of Scripture, grow in their understanding of God’s faithfulness, and discover meaningful ways to respond through prayer, wise decisions, and continued trust in Him.</w:t>
            </w:r>
          </w:p>
        </w:tc>
      </w:tr>
    </w:tbl>
    <w:p>
      <w:pPr>
        <w:spacing w:after="0" w:line="271" w:lineRule="auto" w:before="220"/>
      </w:pPr>
      <w:r>
        <w:rPr>
          <w:rFonts w:ascii="Inter" w:hAnsi="Inter"/>
          <w:b w:val="0"/>
          <w:color w:val="5E6B78"/>
          <w:sz w:val="17"/>
        </w:rPr>
        <w:t>These statements give your journal direction. You may refine them as you study Scripture, plan the entries, and draft the manuscript.</w:t>
      </w:r>
    </w:p>
    <w:p>
      <w:r>
        <w:br w:type="page"/>
      </w:r>
    </w:p>
    <w:p>
      <w:pPr>
        <w:pStyle w:val="Eyebrow"/>
        <w:keepNext/>
        <w:spacing w:before="120" w:after="60"/>
      </w:pPr>
      <w:r>
        <w:t>SOURCE MATERIALS  /  DECISIONS FOR LATER</w:t>
      </w:r>
    </w:p>
    <w:p>
      <w:pPr>
        <w:pStyle w:val="ResourceTitle"/>
      </w:pPr>
      <w:r>
        <w:t>Materials &amp; Next Steps</w:t>
      </w:r>
    </w:p>
    <w:p>
      <w:pPr>
        <w:spacing w:after="200" w:line="271" w:lineRule="auto"/>
      </w:pPr>
      <w:r>
        <w:rPr>
          <w:rFonts w:ascii="Inter" w:hAnsi="Inter"/>
          <w:b w:val="0"/>
          <w:color w:val="5E6B78"/>
          <w:sz w:val="18"/>
        </w:rPr>
        <w:t>Record promising starting points, not every source you own. Your detailed Material Inventory can stay in your Journal Project Organizer.</w:t>
      </w:r>
    </w:p>
    <w:p>
      <w:pPr>
        <w:pStyle w:val="ResourceHeading"/>
        <w:keepNext/>
        <w:spacing w:before="200"/>
      </w:pPr>
      <w:r>
        <w:rPr>
          <w:rFonts w:ascii="Inter" w:hAnsi="Inter"/>
          <w:b/>
          <w:color w:val="B8862B"/>
          <w:sz w:val="18"/>
        </w:rPr>
        <w:t xml:space="preserve">04  </w:t>
      </w:r>
      <w:r>
        <w:t>Promising source materials</w:t>
      </w:r>
    </w:p>
    <w:p>
      <w:pPr>
        <w:spacing w:after="100" w:line="271" w:lineRule="auto"/>
      </w:pPr>
      <w:r>
        <w:rPr>
          <w:rFonts w:ascii="Inter" w:hAnsi="Inter"/>
          <w:b w:val="0"/>
          <w:color w:val="5E6B78"/>
          <w:sz w:val="18"/>
        </w:rPr>
        <w:t>Select three to five notes, Scripture leads, experiences, or questions that may serve your message.</w:t>
      </w:r>
    </w:p>
    <w:tbl>
      <w:tblPr>
        <w:tblW w:type="auto" w:w="0"/>
        <w:jc w:val="center"/>
        <w:tblLayout w:type="fixed"/>
        <w:tblLook w:firstColumn="1" w:firstRow="1" w:lastColumn="0" w:lastRow="0" w:noHBand="0" w:noVBand="1" w:val="04A0"/>
      </w:tblPr>
      <w:tblGrid>
        <w:gridCol w:w="3384"/>
        <w:gridCol w:w="6624"/>
      </w:tblGrid>
      <w:tr>
        <w:trPr>
          <w:trHeight w:val="461" w:hRule="atLeast"/>
        </w:trPr>
        <w:tc>
          <w:tcPr>
            <w:tcW w:type="dxa" w:w="3384"/>
            <w:vAlign w:val="center"/>
            <w:tcMar>
              <w:top w:w="105" w:type="dxa"/>
              <w:bottom w:w="90" w:type="dxa"/>
              <w:left w:w="125" w:type="dxa"/>
              <w:right w:w="125" w:type="dxa"/>
            </w:tcMar>
            <w:shd w:fill="0C2A48"/>
            <w:tcBorders>
              <w:bottom w:val="single" w:color="DCD4C8" w:sz="4"/>
            </w:tcBorders>
          </w:tcPr>
          <w:p>
            <w:pPr>
              <w:spacing w:after="0" w:line="264" w:lineRule="auto"/>
            </w:pPr>
            <w:r>
              <w:rPr>
                <w:rFonts w:ascii="Inter" w:hAnsi="Inter"/>
                <w:b/>
                <w:color w:val="FFFFFF"/>
                <w:sz w:val="16"/>
              </w:rPr>
              <w:t>MATERIAL / SCRIPTURE / IDEA</w:t>
            </w:r>
          </w:p>
        </w:tc>
        <w:tc>
          <w:tcPr>
            <w:tcW w:type="dxa" w:w="6624"/>
            <w:vAlign w:val="center"/>
            <w:tcMar>
              <w:top w:w="105" w:type="dxa"/>
              <w:bottom w:w="90" w:type="dxa"/>
              <w:left w:w="125" w:type="dxa"/>
              <w:right w:w="125" w:type="dxa"/>
            </w:tcMar>
            <w:shd w:fill="0C2A48"/>
            <w:tcBorders>
              <w:bottom w:val="single" w:color="DCD4C8" w:sz="4"/>
            </w:tcBorders>
          </w:tcPr>
          <w:p>
            <w:pPr>
              <w:spacing w:after="0" w:line="264" w:lineRule="auto"/>
            </w:pPr>
            <w:r>
              <w:rPr>
                <w:rFonts w:ascii="Inter" w:hAnsi="Inter"/>
                <w:b/>
                <w:color w:val="FFFFFF"/>
                <w:sz w:val="16"/>
              </w:rPr>
              <w:t>POSSIBLE CONTRIBUTION OR NEXT STEP</w:t>
            </w:r>
          </w:p>
        </w:tc>
      </w:tr>
      <w:tr>
        <w:trPr>
          <w:trHeight w:val="734" w:hRule="atLeast"/>
        </w:trPr>
        <w:tc>
          <w:tcPr>
            <w:tcW w:type="dxa" w:w="3384"/>
            <w:vAlign w:val="center"/>
            <w:tcMar>
              <w:top w:w="105" w:type="dxa"/>
              <w:bottom w:w="90" w:type="dxa"/>
              <w:left w:w="125" w:type="dxa"/>
              <w:right w:w="125" w:type="dxa"/>
            </w:tcMar>
            <w:shd w:fill="F8F6F2"/>
            <w:tcBorders>
              <w:bottom w:val="single" w:color="DCD4C8" w:sz="4"/>
            </w:tcBorders>
          </w:tcPr>
          <w:p>
            <w:pPr>
              <w:spacing w:after="0" w:line="264" w:lineRule="auto"/>
            </w:pPr>
            <w:r>
              <w:rPr>
                <w:rFonts w:ascii="Inter" w:hAnsi="Inter"/>
                <w:color w:val="183B58"/>
                <w:sz w:val="17"/>
              </w:rPr>
              <w:t>R01  •  Personal journal</w:t>
            </w:r>
          </w:p>
        </w:tc>
        <w:tc>
          <w:tcPr>
            <w:tcW w:type="dxa" w:w="6624"/>
            <w:vAlign w:val="center"/>
            <w:tcMar>
              <w:top w:w="105" w:type="dxa"/>
              <w:bottom w:w="90" w:type="dxa"/>
              <w:left w:w="125" w:type="dxa"/>
              <w:right w:w="125" w:type="dxa"/>
            </w:tcMar>
            <w:shd w:fill="F8F6F2"/>
            <w:tcBorders>
              <w:bottom w:val="single" w:color="DCD4C8" w:sz="4"/>
            </w:tcBorders>
          </w:tcPr>
          <w:p>
            <w:pPr>
              <w:spacing w:after="0" w:line="264" w:lineRule="auto"/>
            </w:pPr>
            <w:r>
              <w:rPr>
                <w:rFonts w:ascii="Inter" w:hAnsi="Inter"/>
                <w:color w:val="183B58"/>
                <w:sz w:val="17"/>
              </w:rPr>
              <w:t>Uncertain career decision; possible illustration. The lesson is not yet clear.</w:t>
            </w:r>
          </w:p>
        </w:tc>
      </w:tr>
      <w:tr>
        <w:trPr>
          <w:trHeight w:val="734" w:hRule="atLeast"/>
        </w:trPr>
        <w:tc>
          <w:tcPr>
            <w:tcW w:type="dxa" w:w="3384"/>
            <w:vAlign w:val="center"/>
            <w:tcMar>
              <w:top w:w="105" w:type="dxa"/>
              <w:bottom w:w="90" w:type="dxa"/>
              <w:left w:w="125" w:type="dxa"/>
              <w:right w:w="125" w:type="dxa"/>
            </w:tcMar>
            <w:shd w:fill="FFFFFF"/>
            <w:tcBorders>
              <w:bottom w:val="single" w:color="DCD4C8" w:sz="4"/>
            </w:tcBorders>
          </w:tcPr>
          <w:p>
            <w:pPr>
              <w:spacing w:after="0" w:line="264" w:lineRule="auto"/>
            </w:pPr>
            <w:r>
              <w:rPr>
                <w:rFonts w:ascii="Inter" w:hAnsi="Inter"/>
                <w:color w:val="183B58"/>
                <w:sz w:val="17"/>
              </w:rPr>
              <w:t>R02  •  Psalm 77 notes</w:t>
            </w:r>
          </w:p>
        </w:tc>
        <w:tc>
          <w:tcPr>
            <w:tcW w:type="dxa" w:w="6624"/>
            <w:vAlign w:val="center"/>
            <w:tcMar>
              <w:top w:w="105" w:type="dxa"/>
              <w:bottom w:w="90" w:type="dxa"/>
              <w:left w:w="125" w:type="dxa"/>
              <w:right w:w="125" w:type="dxa"/>
            </w:tcMar>
            <w:shd w:fill="FFFFFF"/>
            <w:tcBorders>
              <w:bottom w:val="single" w:color="DCD4C8" w:sz="4"/>
            </w:tcBorders>
          </w:tcPr>
          <w:p>
            <w:pPr>
              <w:spacing w:after="0" w:line="264" w:lineRule="auto"/>
            </w:pPr>
            <w:r>
              <w:rPr>
                <w:rFonts w:ascii="Inter" w:hAnsi="Inter"/>
                <w:color w:val="183B58"/>
                <w:sz w:val="17"/>
              </w:rPr>
              <w:t>Distress, hard questions, remembering God’s works; study the passage in context.</w:t>
            </w:r>
          </w:p>
        </w:tc>
      </w:tr>
      <w:tr>
        <w:trPr>
          <w:trHeight w:val="734" w:hRule="atLeast"/>
        </w:trPr>
        <w:tc>
          <w:tcPr>
            <w:tcW w:type="dxa" w:w="3384"/>
            <w:vAlign w:val="center"/>
            <w:tcMar>
              <w:top w:w="105" w:type="dxa"/>
              <w:bottom w:w="90" w:type="dxa"/>
              <w:left w:w="125" w:type="dxa"/>
              <w:right w:w="125" w:type="dxa"/>
            </w:tcMar>
            <w:shd w:fill="F8F6F2"/>
            <w:tcBorders>
              <w:bottom w:val="single" w:color="DCD4C8" w:sz="4"/>
            </w:tcBorders>
          </w:tcPr>
          <w:p>
            <w:pPr>
              <w:spacing w:after="0" w:line="264" w:lineRule="auto"/>
            </w:pPr>
            <w:r>
              <w:rPr>
                <w:rFonts w:ascii="Inter" w:hAnsi="Inter"/>
                <w:color w:val="183B58"/>
                <w:sz w:val="17"/>
              </w:rPr>
              <w:t>R04  •  Prayer notebook</w:t>
            </w:r>
          </w:p>
        </w:tc>
        <w:tc>
          <w:tcPr>
            <w:tcW w:type="dxa" w:w="6624"/>
            <w:vAlign w:val="center"/>
            <w:tcMar>
              <w:top w:w="105" w:type="dxa"/>
              <w:bottom w:w="90" w:type="dxa"/>
              <w:left w:w="125" w:type="dxa"/>
              <w:right w:w="125" w:type="dxa"/>
            </w:tcMar>
            <w:shd w:fill="F8F6F2"/>
            <w:tcBorders>
              <w:bottom w:val="single" w:color="DCD4C8" w:sz="4"/>
            </w:tcBorders>
          </w:tcPr>
          <w:p>
            <w:pPr>
              <w:spacing w:after="0" w:line="264" w:lineRule="auto"/>
            </w:pPr>
            <w:r>
              <w:rPr>
                <w:rFonts w:ascii="Inter" w:hAnsi="Inter"/>
                <w:color w:val="183B58"/>
                <w:sz w:val="17"/>
              </w:rPr>
              <w:t>Waiting for certainty versus seeking wisdom; may support reflection on decisions.</w:t>
            </w:r>
          </w:p>
        </w:tc>
      </w:tr>
      <w:tr>
        <w:trPr>
          <w:trHeight w:val="734" w:hRule="atLeast"/>
        </w:trPr>
        <w:tc>
          <w:tcPr>
            <w:tcW w:type="dxa" w:w="3384"/>
            <w:vAlign w:val="center"/>
            <w:tcMar>
              <w:top w:w="105" w:type="dxa"/>
              <w:bottom w:w="90" w:type="dxa"/>
              <w:left w:w="125" w:type="dxa"/>
              <w:right w:w="125" w:type="dxa"/>
            </w:tcMar>
            <w:shd w:fill="FFFFFF"/>
            <w:tcBorders>
              <w:bottom w:val="single" w:color="DCD4C8" w:sz="4"/>
            </w:tcBorders>
          </w:tcPr>
          <w:p>
            <w:pPr>
              <w:spacing w:after="0" w:line="264" w:lineRule="auto"/>
            </w:pPr>
            <w:r>
              <w:rPr>
                <w:rFonts w:ascii="Inter" w:hAnsi="Inter"/>
                <w:color w:val="183B58"/>
                <w:sz w:val="17"/>
              </w:rPr>
              <w:t>R05  •  Teaching outline</w:t>
            </w:r>
          </w:p>
        </w:tc>
        <w:tc>
          <w:tcPr>
            <w:tcW w:type="dxa" w:w="6624"/>
            <w:vAlign w:val="center"/>
            <w:tcMar>
              <w:top w:w="105" w:type="dxa"/>
              <w:bottom w:w="90" w:type="dxa"/>
              <w:left w:w="125" w:type="dxa"/>
              <w:right w:w="125" w:type="dxa"/>
            </w:tcMar>
            <w:shd w:fill="FFFFFF"/>
            <w:tcBorders>
              <w:bottom w:val="single" w:color="DCD4C8" w:sz="4"/>
            </w:tcBorders>
          </w:tcPr>
          <w:p>
            <w:pPr>
              <w:spacing w:after="0" w:line="264" w:lineRule="auto"/>
            </w:pPr>
            <w:r>
              <w:rPr>
                <w:rFonts w:ascii="Inter" w:hAnsi="Inter"/>
                <w:color w:val="183B58"/>
                <w:sz w:val="17"/>
              </w:rPr>
              <w:t>Counsel, facts, prayer, responsible action; biblical foundation still needed.</w:t>
            </w:r>
          </w:p>
        </w:tc>
      </w:tr>
      <w:tr>
        <w:trPr>
          <w:trHeight w:val="734" w:hRule="atLeast"/>
        </w:trPr>
        <w:tc>
          <w:tcPr>
            <w:tcW w:type="dxa" w:w="3384"/>
            <w:vAlign w:val="center"/>
            <w:tcMar>
              <w:top w:w="105" w:type="dxa"/>
              <w:bottom w:w="90" w:type="dxa"/>
              <w:left w:w="125" w:type="dxa"/>
              <w:right w:w="125" w:type="dxa"/>
            </w:tcMar>
            <w:shd w:fill="F8F6F2"/>
            <w:tcBorders>
              <w:bottom w:val="single" w:color="DCD4C8" w:sz="4"/>
            </w:tcBorders>
          </w:tcPr>
          <w:p>
            <w:pPr>
              <w:spacing w:after="0" w:line="264" w:lineRule="auto"/>
            </w:pPr>
            <w:r>
              <w:rPr>
                <w:rFonts w:ascii="Inter" w:hAnsi="Inter"/>
                <w:color w:val="183B58"/>
                <w:sz w:val="17"/>
              </w:rPr>
              <w:t>R06  •  Scripture slips</w:t>
            </w:r>
          </w:p>
        </w:tc>
        <w:tc>
          <w:tcPr>
            <w:tcW w:type="dxa" w:w="6624"/>
            <w:vAlign w:val="center"/>
            <w:tcMar>
              <w:top w:w="105" w:type="dxa"/>
              <w:bottom w:w="90" w:type="dxa"/>
              <w:left w:w="125" w:type="dxa"/>
              <w:right w:w="125" w:type="dxa"/>
            </w:tcMar>
            <w:shd w:fill="F8F6F2"/>
            <w:tcBorders>
              <w:bottom w:val="single" w:color="DCD4C8" w:sz="4"/>
            </w:tcBorders>
          </w:tcPr>
          <w:p>
            <w:pPr>
              <w:spacing w:after="0" w:line="264" w:lineRule="auto"/>
            </w:pPr>
            <w:r>
              <w:rPr>
                <w:rFonts w:ascii="Inter" w:hAnsi="Inter"/>
                <w:color w:val="183B58"/>
                <w:sz w:val="17"/>
              </w:rPr>
              <w:t>Several possible passages, including Psalm 13 and James 1:5; verify context and fit.</w:t>
            </w:r>
          </w:p>
        </w:tc>
      </w:tr>
    </w:tbl>
    <w:p>
      <w:pPr>
        <w:pStyle w:val="ResourceHeading"/>
        <w:keepNext/>
        <w:spacing w:before="200"/>
      </w:pPr>
      <w:r>
        <w:rPr>
          <w:rFonts w:ascii="Inter" w:hAnsi="Inter"/>
          <w:b/>
          <w:color w:val="B8862B"/>
          <w:sz w:val="18"/>
        </w:rPr>
        <w:t xml:space="preserve">05  </w:t>
      </w:r>
      <w:r>
        <w:t>Material needing more development</w:t>
      </w:r>
    </w:p>
    <w:p>
      <w:pPr>
        <w:spacing w:after="100" w:line="271" w:lineRule="auto"/>
      </w:pPr>
      <w:r>
        <w:rPr>
          <w:rFonts w:ascii="Inter" w:hAnsi="Inter"/>
          <w:b w:val="0"/>
          <w:color w:val="5E6B78"/>
          <w:sz w:val="18"/>
        </w:rPr>
        <w:t>What should you study, clarify, verify, or expand before you use it?</w:t>
      </w:r>
    </w:p>
    <w:tbl>
      <w:tblPr>
        <w:tblW w:type="auto" w:w="0"/>
        <w:jc w:val="center"/>
        <w:tblLayout w:type="fixed"/>
        <w:tblLook w:firstColumn="1" w:firstRow="1" w:lastColumn="0" w:lastRow="0" w:noHBand="0" w:noVBand="1" w:val="04A0"/>
      </w:tblPr>
      <w:tblGrid>
        <w:gridCol w:w="10008"/>
      </w:tblGrid>
      <w:tr>
        <w:trPr>
          <w:trHeight w:val="562" w:hRule="atLeast"/>
        </w:trPr>
        <w:tc>
          <w:tcPr>
            <w:tcW w:type="dxa" w:w="10008"/>
            <w:vAlign w:val="center"/>
            <w:tcMar>
              <w:top w:w="105" w:type="dxa"/>
              <w:bottom w:w="90" w:type="dxa"/>
              <w:left w:w="125" w:type="dxa"/>
              <w:right w:w="125" w:type="dxa"/>
            </w:tcMar>
            <w:shd w:fill="FFFFFF"/>
            <w:tcBorders>
              <w:bottom w:val="single" w:color="DCD4C8" w:sz="4"/>
            </w:tcBorders>
          </w:tcPr>
          <w:p>
            <w:pPr>
              <w:spacing w:after="0" w:line="264" w:lineRule="auto"/>
            </w:pPr>
            <w:r>
              <w:rPr>
                <w:rFonts w:ascii="Inter" w:hAnsi="Inter"/>
                <w:color w:val="183B58"/>
                <w:sz w:val="17"/>
              </w:rPr>
              <w:t>Study Scripture passages in context before building entries, especially Psalm 77 and R06 leads.</w:t>
            </w:r>
          </w:p>
        </w:tc>
      </w:tr>
      <w:tr>
        <w:trPr>
          <w:trHeight w:val="562" w:hRule="atLeast"/>
        </w:trPr>
        <w:tc>
          <w:tcPr>
            <w:tcW w:type="dxa" w:w="10008"/>
            <w:vAlign w:val="center"/>
            <w:tcMar>
              <w:top w:w="105" w:type="dxa"/>
              <w:bottom w:w="90" w:type="dxa"/>
              <w:left w:w="125" w:type="dxa"/>
              <w:right w:w="125" w:type="dxa"/>
            </w:tcMar>
            <w:shd w:fill="F8F6F2"/>
            <w:tcBorders>
              <w:bottom w:val="single" w:color="DCD4C8" w:sz="4"/>
            </w:tcBorders>
          </w:tcPr>
          <w:p>
            <w:pPr>
              <w:spacing w:after="0" w:line="264" w:lineRule="auto"/>
            </w:pPr>
            <w:r>
              <w:rPr>
                <w:rFonts w:ascii="Inter" w:hAnsi="Inter"/>
                <w:color w:val="183B58"/>
                <w:sz w:val="17"/>
              </w:rPr>
              <w:t>Establish biblical support for the practical outline (R05); investigate the questionable sermon claim (R07).</w:t>
            </w:r>
          </w:p>
        </w:tc>
      </w:tr>
      <w:tr>
        <w:trPr>
          <w:trHeight w:val="562" w:hRule="atLeast"/>
        </w:trPr>
        <w:tc>
          <w:tcPr>
            <w:tcW w:type="dxa" w:w="10008"/>
            <w:vAlign w:val="center"/>
            <w:tcMar>
              <w:top w:w="105" w:type="dxa"/>
              <w:bottom w:w="90" w:type="dxa"/>
              <w:left w:w="125" w:type="dxa"/>
              <w:right w:w="125" w:type="dxa"/>
            </w:tcMar>
            <w:shd w:fill="FFFFFF"/>
            <w:tcBorders>
              <w:bottom w:val="single" w:color="DCD4C8" w:sz="4"/>
            </w:tcBorders>
          </w:tcPr>
          <w:p>
            <w:pPr>
              <w:spacing w:after="0" w:line="264" w:lineRule="auto"/>
            </w:pPr>
            <w:r>
              <w:rPr>
                <w:rFonts w:ascii="Inter" w:hAnsi="Inter"/>
                <w:color w:val="183B58"/>
                <w:sz w:val="17"/>
              </w:rPr>
              <w:t>Develop varied, meaningful prompts; do not use the friend’s private experience (R08) without permission.</w:t>
            </w:r>
          </w:p>
        </w:tc>
      </w:tr>
    </w:tbl>
    <w:p>
      <w:pPr>
        <w:pStyle w:val="ResourceHeading"/>
        <w:keepNext/>
        <w:spacing w:before="200"/>
      </w:pPr>
      <w:r>
        <w:rPr>
          <w:rFonts w:ascii="Inter" w:hAnsi="Inter"/>
          <w:b/>
          <w:color w:val="B8862B"/>
          <w:sz w:val="18"/>
        </w:rPr>
        <w:t xml:space="preserve">06  </w:t>
      </w:r>
      <w:r>
        <w:t>Decisions for later</w:t>
      </w:r>
    </w:p>
    <w:p>
      <w:pPr>
        <w:spacing w:after="100" w:line="271" w:lineRule="auto"/>
      </w:pPr>
      <w:r>
        <w:rPr>
          <w:rFonts w:ascii="Inter" w:hAnsi="Inter"/>
          <w:b w:val="0"/>
          <w:color w:val="5E6B78"/>
          <w:sz w:val="18"/>
        </w:rPr>
        <w:t>Record choices that are not required to finish this week’s definition.</w:t>
      </w:r>
    </w:p>
    <w:tbl>
      <w:tblPr>
        <w:tblW w:type="auto" w:w="0"/>
        <w:jc w:val="center"/>
        <w:tblLayout w:type="fixed"/>
        <w:tblLook w:firstColumn="1" w:firstRow="1" w:lastColumn="0" w:lastRow="0" w:noHBand="0" w:noVBand="1" w:val="04A0"/>
      </w:tblPr>
      <w:tblGrid>
        <w:gridCol w:w="7128"/>
        <w:gridCol w:w="2880"/>
      </w:tblGrid>
      <w:tr>
        <w:trPr>
          <w:trHeight w:val="418" w:hRule="atLeast"/>
        </w:trPr>
        <w:tc>
          <w:tcPr>
            <w:tcW w:type="dxa" w:w="7128"/>
            <w:vAlign w:val="center"/>
            <w:tcMar>
              <w:top w:w="105" w:type="dxa"/>
              <w:bottom w:w="90" w:type="dxa"/>
              <w:left w:w="125" w:type="dxa"/>
              <w:right w:w="125" w:type="dxa"/>
            </w:tcMar>
            <w:shd w:fill="0C2A48"/>
            <w:tcBorders>
              <w:bottom w:val="single" w:color="DCD4C8" w:sz="4"/>
            </w:tcBorders>
          </w:tcPr>
          <w:p>
            <w:pPr>
              <w:spacing w:after="0" w:line="264" w:lineRule="auto"/>
            </w:pPr>
            <w:r>
              <w:rPr>
                <w:rFonts w:ascii="Inter" w:hAnsi="Inter"/>
                <w:b/>
                <w:color w:val="FFFFFF"/>
                <w:sz w:val="16"/>
              </w:rPr>
              <w:t>DECISION OR QUESTION</w:t>
            </w:r>
          </w:p>
        </w:tc>
        <w:tc>
          <w:tcPr>
            <w:tcW w:type="dxa" w:w="2880"/>
            <w:vAlign w:val="center"/>
            <w:tcMar>
              <w:top w:w="105" w:type="dxa"/>
              <w:bottom w:w="90" w:type="dxa"/>
              <w:left w:w="125" w:type="dxa"/>
              <w:right w:w="125" w:type="dxa"/>
            </w:tcMar>
            <w:shd w:fill="0C2A48"/>
            <w:tcBorders>
              <w:bottom w:val="single" w:color="DCD4C8" w:sz="4"/>
            </w:tcBorders>
          </w:tcPr>
          <w:p>
            <w:pPr>
              <w:spacing w:after="0" w:line="264" w:lineRule="auto"/>
            </w:pPr>
            <w:r>
              <w:rPr>
                <w:rFonts w:ascii="Inter" w:hAnsi="Inter"/>
                <w:b/>
                <w:color w:val="FFFFFF"/>
                <w:sz w:val="16"/>
              </w:rPr>
              <w:t>WHEN TO REVISIT</w:t>
            </w:r>
          </w:p>
        </w:tc>
      </w:tr>
      <w:tr>
        <w:trPr>
          <w:trHeight w:val="490" w:hRule="atLeast"/>
        </w:trPr>
        <w:tc>
          <w:tcPr>
            <w:tcW w:type="dxa" w:w="7128"/>
            <w:vAlign w:val="center"/>
            <w:tcMar>
              <w:top w:w="105" w:type="dxa"/>
              <w:bottom w:w="90" w:type="dxa"/>
              <w:left w:w="125" w:type="dxa"/>
              <w:right w:w="125" w:type="dxa"/>
            </w:tcMar>
            <w:shd w:fill="F8F6F2"/>
            <w:tcBorders>
              <w:bottom w:val="single" w:color="DCD4C8" w:sz="4"/>
            </w:tcBorders>
          </w:tcPr>
          <w:p>
            <w:pPr>
              <w:spacing w:after="0" w:line="264" w:lineRule="auto"/>
            </w:pPr>
            <w:r>
              <w:rPr>
                <w:rFonts w:ascii="Inter" w:hAnsi="Inter"/>
                <w:color w:val="183B58"/>
                <w:sz w:val="17"/>
              </w:rPr>
              <w:t>Scripture-led, experience-led, or a blend?</w:t>
            </w:r>
          </w:p>
        </w:tc>
        <w:tc>
          <w:tcPr>
            <w:tcW w:type="dxa" w:w="2880"/>
            <w:vAlign w:val="center"/>
            <w:tcMar>
              <w:top w:w="105" w:type="dxa"/>
              <w:bottom w:w="90" w:type="dxa"/>
              <w:left w:w="125" w:type="dxa"/>
              <w:right w:w="125" w:type="dxa"/>
            </w:tcMar>
            <w:shd w:fill="F8F6F2"/>
            <w:tcBorders>
              <w:bottom w:val="single" w:color="DCD4C8" w:sz="4"/>
            </w:tcBorders>
          </w:tcPr>
          <w:p>
            <w:pPr>
              <w:spacing w:after="0" w:line="264" w:lineRule="auto"/>
            </w:pPr>
            <w:r>
              <w:rPr>
                <w:rFonts w:ascii="Inter" w:hAnsi="Inter"/>
                <w:color w:val="183B58"/>
                <w:sz w:val="17"/>
              </w:rPr>
              <w:t>Week Three</w:t>
            </w:r>
          </w:p>
        </w:tc>
      </w:tr>
      <w:tr>
        <w:trPr>
          <w:trHeight w:val="490" w:hRule="atLeast"/>
        </w:trPr>
        <w:tc>
          <w:tcPr>
            <w:tcW w:type="dxa" w:w="7128"/>
            <w:vAlign w:val="center"/>
            <w:tcMar>
              <w:top w:w="105" w:type="dxa"/>
              <w:bottom w:w="90" w:type="dxa"/>
              <w:left w:w="125" w:type="dxa"/>
              <w:right w:w="125" w:type="dxa"/>
            </w:tcMar>
            <w:shd w:fill="FFFFFF"/>
            <w:tcBorders>
              <w:bottom w:val="single" w:color="DCD4C8" w:sz="4"/>
            </w:tcBorders>
          </w:tcPr>
          <w:p>
            <w:pPr>
              <w:spacing w:after="0" w:line="264" w:lineRule="auto"/>
            </w:pPr>
            <w:r>
              <w:rPr>
                <w:rFonts w:ascii="Inter" w:hAnsi="Inter"/>
                <w:color w:val="183B58"/>
                <w:sz w:val="17"/>
              </w:rPr>
              <w:t>Thirty distinct topics and their order?</w:t>
            </w:r>
          </w:p>
        </w:tc>
        <w:tc>
          <w:tcPr>
            <w:tcW w:type="dxa" w:w="2880"/>
            <w:vAlign w:val="center"/>
            <w:tcMar>
              <w:top w:w="105" w:type="dxa"/>
              <w:bottom w:w="90" w:type="dxa"/>
              <w:left w:w="125" w:type="dxa"/>
              <w:right w:w="125" w:type="dxa"/>
            </w:tcMar>
            <w:shd w:fill="FFFFFF"/>
            <w:tcBorders>
              <w:bottom w:val="single" w:color="DCD4C8" w:sz="4"/>
            </w:tcBorders>
          </w:tcPr>
          <w:p>
            <w:pPr>
              <w:spacing w:after="0" w:line="264" w:lineRule="auto"/>
            </w:pPr>
            <w:r>
              <w:rPr>
                <w:rFonts w:ascii="Inter" w:hAnsi="Inter"/>
                <w:color w:val="183B58"/>
                <w:sz w:val="17"/>
              </w:rPr>
              <w:t>Week Four</w:t>
            </w:r>
          </w:p>
        </w:tc>
      </w:tr>
      <w:tr>
        <w:trPr>
          <w:trHeight w:val="490" w:hRule="atLeast"/>
        </w:trPr>
        <w:tc>
          <w:tcPr>
            <w:tcW w:type="dxa" w:w="7128"/>
            <w:vAlign w:val="center"/>
            <w:tcMar>
              <w:top w:w="105" w:type="dxa"/>
              <w:bottom w:w="90" w:type="dxa"/>
              <w:left w:w="125" w:type="dxa"/>
              <w:right w:w="125" w:type="dxa"/>
            </w:tcMar>
            <w:shd w:fill="F8F6F2"/>
            <w:tcBorders>
              <w:bottom w:val="single" w:color="DCD4C8" w:sz="4"/>
            </w:tcBorders>
          </w:tcPr>
          <w:p>
            <w:pPr>
              <w:spacing w:after="0" w:line="264" w:lineRule="auto"/>
            </w:pPr>
            <w:r>
              <w:rPr>
                <w:rFonts w:ascii="Inter" w:hAnsi="Inter"/>
                <w:color w:val="183B58"/>
                <w:sz w:val="17"/>
              </w:rPr>
              <w:t>Final title, page size, writing-space layout?</w:t>
            </w:r>
          </w:p>
        </w:tc>
        <w:tc>
          <w:tcPr>
            <w:tcW w:type="dxa" w:w="2880"/>
            <w:vAlign w:val="center"/>
            <w:tcMar>
              <w:top w:w="105" w:type="dxa"/>
              <w:bottom w:w="90" w:type="dxa"/>
              <w:left w:w="125" w:type="dxa"/>
              <w:right w:w="125" w:type="dxa"/>
            </w:tcMar>
            <w:shd w:fill="F8F6F2"/>
            <w:tcBorders>
              <w:bottom w:val="single" w:color="DCD4C8" w:sz="4"/>
            </w:tcBorders>
          </w:tcPr>
          <w:p>
            <w:pPr>
              <w:spacing w:after="0" w:line="264" w:lineRule="auto"/>
            </w:pPr>
            <w:r>
              <w:rPr>
                <w:rFonts w:ascii="Inter" w:hAnsi="Inter"/>
                <w:color w:val="183B58"/>
                <w:sz w:val="17"/>
              </w:rPr>
              <w:t>Publication preparation</w:t>
            </w:r>
          </w:p>
        </w:tc>
      </w:tr>
    </w:tbl>
    <w:p>
      <w:pPr>
        <w:spacing w:after="0"/>
      </w:pPr>
    </w:p>
    <w:tbl>
      <w:tblPr>
        <w:tblW w:type="auto" w:w="0"/>
        <w:tblLayout w:type="fixed"/>
        <w:tblLook w:firstColumn="1" w:firstRow="1" w:lastColumn="0" w:lastRow="0" w:noHBand="0" w:noVBand="1" w:val="04A0"/>
      </w:tblPr>
      <w:tblGrid>
        <w:gridCol w:w="10008"/>
      </w:tblGrid>
      <w:tr>
        <w:tc>
          <w:tcPr>
            <w:tcW w:type="dxa" w:w="10022"/>
            <w:shd w:fill="F8F6F2"/>
            <w:tcBorders>
              <w:left w:val="single" w:color="B8862B" w:sz="16"/>
            </w:tcBorders>
            <w:tcMar>
              <w:top w:w="125" w:type="dxa"/>
              <w:bottom w:w="115" w:type="dxa"/>
              <w:left w:w="160" w:type="dxa"/>
              <w:right w:w="170" w:type="dxa"/>
            </w:tcMar>
          </w:tcPr>
          <w:p>
            <w:pPr>
              <w:spacing w:after="40"/>
            </w:pPr>
            <w:r>
              <w:rPr>
                <w:rFonts w:ascii="Inter" w:hAnsi="Inter"/>
                <w:b/>
                <w:color w:val="B8862B"/>
                <w:sz w:val="16"/>
              </w:rPr>
              <w:t>WEEK TWO FINISH LINE</w:t>
            </w:r>
          </w:p>
          <w:p>
            <w:pPr>
              <w:spacing w:after="0" w:line="271" w:lineRule="auto"/>
            </w:pPr>
            <w:r>
              <w:rPr>
                <w:rFonts w:ascii="Inter" w:hAnsi="Inter"/>
                <w:color w:val="183B58"/>
                <w:sz w:val="17"/>
              </w:rPr>
              <w:t>Rachel now has a message, intended readers, desired reader outcome, and promising materials. Her original source notes remain unchanged in Starting Snapshot 01; the 30-day outline comes later.</w:t>
            </w:r>
          </w:p>
        </w:tc>
      </w:tr>
    </w:tbl>
    <w:p>
      <w:pPr>
        <w:spacing w:after="0" w:line="271" w:lineRule="auto" w:before="100"/>
      </w:pPr>
      <w:r>
        <w:rPr>
          <w:rFonts w:ascii="Inter" w:hAnsi="Inter"/>
          <w:b w:val="0"/>
          <w:color w:val="5E6B78"/>
          <w:sz w:val="15"/>
        </w:rPr>
        <w:t>Rachel and her experiences are fictional teaching illustrations created for Create Great Books.</w:t>
      </w:r>
    </w:p>
    <w:sectPr w:rsidR="00FC693F" w:rsidRPr="0006063C" w:rsidSect="00034616">
      <w:headerReference w:type="default" r:id="rId9"/>
      <w:footerReference w:type="default" r:id="rId10"/>
      <w:pgSz w:w="12240" w:h="15840"/>
      <w:pgMar w:top="1210" w:right="1109" w:bottom="950" w:left="1109" w:header="346"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rFonts w:ascii="Inter" w:hAnsi="Inter"/>
        <w:color w:val="5E6B78"/>
        <w:sz w:val="14"/>
      </w:rPr>
      <w:t xml:space="preserve">© 2026 Create Great Books. All rights reserved.  •  Personal educational use only  •  Page </w:t>
    </w:r>
    <w:r>
      <w:fldChar w:fldCharType="begin"/>
    </w:r>
    <w:r>
      <w:instrText xml:space="preserve"> PAGE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144" w:lineRule="auto"/>
    </w:pPr>
  </w:p>
  <w:tbl>
    <w:tblPr>
      <w:tblW w:type="auto" w:w="0"/>
      <w:tblLayout w:type="fixed"/>
      <w:tblLook w:firstColumn="1" w:firstRow="1" w:lastColumn="0" w:lastRow="0" w:noHBand="0" w:noVBand="1" w:val="04A0"/>
    </w:tblPr>
    <w:tblGrid>
      <w:gridCol w:w="706"/>
      <w:gridCol w:w="5184"/>
      <w:gridCol w:w="4133"/>
    </w:tblGrid>
    <w:tr>
      <w:tc>
        <w:tcPr>
          <w:tcW w:type="dxa" w:w="3341"/>
          <w:tcMar>
            <w:top w:w="0" w:type="dxa"/>
            <w:start w:w="0" w:type="dxa"/>
            <w:bottom w:w="0" w:type="dxa"/>
            <w:end w:w="0" w:type="dxa"/>
          </w:tcMar>
          <w:vAlign w:val="center"/>
        </w:tcPr>
        <w:p>
          <w:pPr>
            <w:spacing w:after="0"/>
          </w:pPr>
          <w:r/>
          <w:r>
            <w:drawing>
              <wp:inline xmlns:a="http://schemas.openxmlformats.org/drawingml/2006/main" xmlns:pic="http://schemas.openxmlformats.org/drawingml/2006/picture">
                <wp:extent cx="365760" cy="275685"/>
                <wp:docPr id="1" name="Picture 1"/>
                <wp:cNvGraphicFramePr>
                  <a:graphicFrameLocks noChangeAspect="1"/>
                </wp:cNvGraphicFramePr>
                <a:graphic>
                  <a:graphicData uri="http://schemas.openxmlformats.org/drawingml/2006/picture">
                    <pic:pic>
                      <pic:nvPicPr>
                        <pic:cNvPr id="0" name="brand_mark.png"/>
                        <pic:cNvPicPr/>
                      </pic:nvPicPr>
                      <pic:blipFill>
                        <a:blip r:embed="rId1"/>
                        <a:stretch>
                          <a:fillRect/>
                        </a:stretch>
                      </pic:blipFill>
                      <pic:spPr>
                        <a:xfrm>
                          <a:off x="0" y="0"/>
                          <a:ext cx="365760" cy="275685"/>
                        </a:xfrm>
                        <a:prstGeom prst="rect"/>
                      </pic:spPr>
                    </pic:pic>
                  </a:graphicData>
                </a:graphic>
              </wp:inline>
            </w:drawing>
          </w:r>
        </w:p>
      </w:tc>
      <w:tc>
        <w:tcPr>
          <w:tcW w:type="dxa" w:w="3341"/>
          <w:tcMar>
            <w:top w:w="0" w:type="dxa"/>
            <w:start w:w="0" w:type="dxa"/>
            <w:bottom w:w="0" w:type="dxa"/>
            <w:end w:w="0" w:type="dxa"/>
          </w:tcMar>
          <w:vAlign w:val="center"/>
        </w:tcPr>
        <w:p>
          <w:pPr>
            <w:spacing w:after="0"/>
          </w:pPr>
          <w:r/>
          <w:r>
            <w:rPr>
              <w:rFonts w:ascii="GFS Baskerville" w:hAnsi="GFS Baskerville"/>
              <w:b/>
              <w:color w:val="0C2A48"/>
              <w:sz w:val="21"/>
            </w:rPr>
            <w:t>CREATE GREAT BOOKS</w:t>
          </w:r>
        </w:p>
      </w:tc>
      <w:tc>
        <w:tcPr>
          <w:tcW w:type="dxa" w:w="3341"/>
          <w:tcMar>
            <w:top w:w="0" w:type="dxa"/>
            <w:start w:w="0" w:type="dxa"/>
            <w:bottom w:w="0" w:type="dxa"/>
            <w:end w:w="0" w:type="dxa"/>
          </w:tcMar>
          <w:vAlign w:val="center"/>
        </w:tcPr>
        <w:p>
          <w:pPr>
            <w:spacing w:after="0"/>
            <w:jc w:val="right"/>
          </w:pPr>
          <w:r/>
          <w:r>
            <w:rPr>
              <w:rFonts w:ascii="Inter" w:hAnsi="Inter"/>
              <w:b/>
              <w:color w:val="5E6B78"/>
              <w:sz w:val="14"/>
            </w:rPr>
            <w:t>COURSE RESOURCE  /  WEEK TWO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Inter" w:hAnsi="Inter"/>
      <w:color w:val="183B58"/>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ourceTitle">
    <w:name w:val="Resource Title"/>
    <w:basedOn w:val="Normal"/>
    <w:pPr>
      <w:spacing w:before="0" w:after="140"/>
    </w:pPr>
    <w:rPr>
      <w:rFonts w:ascii="GFS Baskerville" w:hAnsi="GFS Baskerville"/>
      <w:b/>
      <w:color w:val="0C2A48"/>
      <w:sz w:val="47"/>
    </w:rPr>
  </w:style>
  <w:style w:type="paragraph" w:customStyle="1" w:styleId="ResourceKicker">
    <w:name w:val="Resource Kicker"/>
    <w:basedOn w:val="Normal"/>
    <w:pPr>
      <w:spacing w:before="0" w:after="200"/>
    </w:pPr>
    <w:rPr>
      <w:rFonts w:ascii="Inter" w:hAnsi="Inter"/>
      <w:b w:val="0"/>
      <w:color w:val="5E6B78"/>
      <w:sz w:val="19"/>
    </w:rPr>
  </w:style>
  <w:style w:type="paragraph" w:customStyle="1" w:styleId="Eyebrow">
    <w:name w:val="Eyebrow"/>
    <w:basedOn w:val="Normal"/>
    <w:pPr>
      <w:spacing w:before="0" w:after="40"/>
    </w:pPr>
    <w:rPr>
      <w:rFonts w:ascii="Inter" w:hAnsi="Inter"/>
      <w:b/>
      <w:color w:val="B8862B"/>
      <w:sz w:val="16"/>
    </w:rPr>
  </w:style>
  <w:style w:type="paragraph" w:customStyle="1" w:styleId="ResourceHeading">
    <w:name w:val="Resource Heading"/>
    <w:basedOn w:val="Normal"/>
    <w:pPr>
      <w:spacing w:before="300" w:after="100"/>
    </w:pPr>
    <w:rPr>
      <w:rFonts w:ascii="GFS Baskerville" w:hAnsi="GFS Baskerville"/>
      <w:b/>
      <w:color w:val="0C2A48"/>
      <w:sz w:val="28"/>
    </w:rPr>
  </w:style>
  <w:style w:type="paragraph" w:customStyle="1" w:styleId="ResourceSubheading">
    <w:name w:val="Resource Subheading"/>
    <w:basedOn w:val="Normal"/>
    <w:pPr>
      <w:spacing w:before="180" w:after="80"/>
    </w:pPr>
    <w:rPr>
      <w:rFonts w:ascii="Inter" w:hAnsi="Inter"/>
      <w:b/>
      <w:color w:val="0C2A48"/>
      <w:sz w:val="21"/>
    </w:rPr>
  </w:style>
  <w:style w:type="paragraph" w:customStyle="1" w:styleId="CheckItem">
    <w:name w:val="Check Item"/>
    <w:basedOn w:val="Normal"/>
    <w:pPr>
      <w:spacing w:before="0" w:after="120"/>
    </w:pPr>
    <w:rPr>
      <w:rFonts w:ascii="Inter" w:hAnsi="Inter"/>
      <w:b w:val="0"/>
      <w:color w:val="183B58"/>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Rachel’s Working Journal Definition — Completed Example</dc:title>
  <dc:subject>Create Great Books 30-Day Christian Guided Journal Course — Week Two Lesson Five</dc:subject>
  <dc:creator>Create Great Books</dc:creator>
  <cp:keywords/>
  <dc:description>generated by python-docx</dc:description>
  <cp:lastModifiedBy/>
  <cp:revision>1</cp:revision>
  <dcterms:created xsi:type="dcterms:W3CDTF">2013-12-23T23:15:00Z</dcterms:created>
  <dcterms:modified xsi:type="dcterms:W3CDTF">2013-12-23T23:15:00Z</dcterms:modified>
  <cp:category/>
</cp:coreProperties>
</file>