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pBdr>
          <w:bottom w:val="single" w:sz="12" w:color="B8862B" w:space="1"/>
        </w:pBdr>
      </w:pPr>
    </w:p>
    <w:p>
      <w:pPr>
        <w:pStyle w:val="Eyebrow"/>
      </w:pPr>
      <w:r>
        <w:t>COMPLETED EXAMPLE  /  WEEK ONE  /  RACHEL (FICTIONAL)</w:t>
      </w:r>
    </w:p>
    <w:p>
      <w:pPr>
        <w:pStyle w:val="ResourceTitle"/>
      </w:pPr>
      <w:r>
        <w:t>Journal Project Organizer</w:t>
      </w:r>
    </w:p>
    <w:p>
      <w:pPr>
        <w:pStyle w:val="ResourceKicker"/>
      </w:pPr>
      <w:r>
        <w:t>Rachel's completed Week One organizer for Trusting God in Uncertain Times. She has only a starting idea and a few scattered resources—not a defined journal or manuscript.</w:t>
      </w:r>
    </w:p>
    <w:p>
      <w:pPr>
        <w:pStyle w:val="ResourceHeading"/>
      </w:pPr>
      <w:r>
        <w:t>1  Give your project one home</w:t>
      </w:r>
    </w:p>
    <w:p>
      <w:pPr>
        <w:spacing w:before="0" w:after="140"/>
      </w:pPr>
      <w:r>
        <w:t>Rachel creates one folder named 'Trusting God in Uncertain Times' with five sections. The notebook and Bible margin notes remain where they are; she records how to find them.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7574"/>
      </w:tblGrid>
      <w:tr>
        <w:trPr>
          <w:trHeight w:val="677" w:hRule="atLeast"/>
        </w:trPr>
        <w:tc>
          <w:tcPr>
            <w:tcW w:type="dxa" w:w="2448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0C2A48"/>
                <w:sz w:val="18"/>
              </w:rPr>
              <w:t>01   Journal Plan</w:t>
            </w:r>
          </w:p>
        </w:tc>
        <w:tc>
          <w:tcPr>
            <w:tcW w:type="dxa" w:w="7574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183B58"/>
                <w:sz w:val="18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Working title and Rachel's initial idea. Audience and outline: not decided yet.</w:t>
            </w:r>
          </w:p>
        </w:tc>
      </w:tr>
      <w:tr>
        <w:trPr>
          <w:trHeight w:val="677" w:hRule="atLeast"/>
        </w:trPr>
        <w:tc>
          <w:tcPr>
            <w:tcW w:type="dxa" w:w="2448"/>
            <w:shd w:fill="FFFFFF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0C2A48"/>
                <w:sz w:val="18"/>
              </w:rPr>
              <w:t>02   Source Materials</w:t>
            </w:r>
          </w:p>
        </w:tc>
        <w:tc>
          <w:tcPr>
            <w:tcW w:type="dxa" w:w="7574"/>
            <w:shd w:fill="FFFFFF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183B58"/>
                <w:sz w:val="18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Notebook and Bible margin notes stay in place; this inventory points to them.</w:t>
            </w:r>
          </w:p>
        </w:tc>
      </w:tr>
      <w:tr>
        <w:trPr>
          <w:trHeight w:val="677" w:hRule="atLeast"/>
        </w:trPr>
        <w:tc>
          <w:tcPr>
            <w:tcW w:type="dxa" w:w="2448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0C2A48"/>
                <w:sz w:val="18"/>
              </w:rPr>
              <w:t>03   Manuscript</w:t>
            </w:r>
          </w:p>
        </w:tc>
        <w:tc>
          <w:tcPr>
            <w:tcW w:type="dxa" w:w="7574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183B58"/>
                <w:sz w:val="18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Empty drafting folder—Rachel has not written a daily entry yet.</w:t>
            </w:r>
          </w:p>
        </w:tc>
      </w:tr>
      <w:tr>
        <w:trPr>
          <w:trHeight w:val="677" w:hRule="atLeast"/>
        </w:trPr>
        <w:tc>
          <w:tcPr>
            <w:tcW w:type="dxa" w:w="2448"/>
            <w:shd w:fill="FFFFFF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0C2A48"/>
                <w:sz w:val="18"/>
              </w:rPr>
              <w:t>04   Future Ideas</w:t>
            </w:r>
          </w:p>
        </w:tc>
        <w:tc>
          <w:tcPr>
            <w:tcW w:type="dxa" w:w="7574"/>
            <w:shd w:fill="FFFFFF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183B58"/>
                <w:sz w:val="18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Possible later journal about praying through hard decisions (R10).</w:t>
            </w:r>
          </w:p>
        </w:tc>
      </w:tr>
      <w:tr>
        <w:trPr>
          <w:trHeight w:val="677" w:hRule="atLeast"/>
        </w:trPr>
        <w:tc>
          <w:tcPr>
            <w:tcW w:type="dxa" w:w="2448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0C2A48"/>
                <w:sz w:val="18"/>
              </w:rPr>
              <w:t>05   Publication</w:t>
            </w:r>
          </w:p>
        </w:tc>
        <w:tc>
          <w:tcPr>
            <w:tcW w:type="dxa" w:w="7574"/>
            <w:shd w:fill="F8F6F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bottom w:val="single" w:sz="4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183B58"/>
                <w:sz w:val="18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Folder reserved for later; no design, cover, or trim-size decisions yet.</w:t>
            </w:r>
          </w:p>
        </w:tc>
      </w:tr>
    </w:tbl>
    <w:p>
      <w:pPr>
        <w:pStyle w:val="ResourceHeading"/>
      </w:pPr>
      <w:r>
        <w:t>2  Choose the tools you already know</w:t>
      </w:r>
    </w:p>
    <w:p>
      <w:pPr>
        <w:spacing w:before="0" w:after="160"/>
      </w:pPr>
      <w:r>
        <w:t>Rachel will use Microsoft Word and her existing paper notebooks. She doesn't need new writing software or to digitize all her notes before moving on.</w:t>
      </w:r>
    </w:p>
    <w:p>
      <w:pPr>
        <w:spacing w:before="0" w:after="220"/>
      </w:pPr>
      <w:r>
        <w:t>My main writing or organizing tool:  Word + paper notebooks</w:t>
      </w:r>
    </w:p>
    <w:p>
      <w:pPr>
        <w:pStyle w:val="ResourceHeading"/>
      </w:pPr>
      <w:r>
        <w:t>3  Your quick setup checklist</w:t>
      </w:r>
    </w:p>
    <w:p>
      <w:pPr>
        <w:pStyle w:val="CheckItem"/>
        <w:spacing w:after="100"/>
      </w:pPr>
      <w:r>
        <w:rPr>
          <w:rFonts w:ascii="DejaVu Sans" w:hAnsi="DejaVu Sans"/>
          <w:color w:val="B8862B"/>
          <w:sz w:val="20"/>
        </w:rPr>
        <w:t xml:space="preserve">☑  </w:t>
      </w:r>
      <w:r>
        <w:rPr>
          <w:rFonts w:ascii="Inter" w:hAnsi="Inter"/>
          <w:color w:val="183B58"/>
          <w:sz w:val="19"/>
        </w:rPr>
        <w:t>Create one home for the journal project and its five categories.</w:t>
      </w:r>
    </w:p>
    <w:p>
      <w:pPr>
        <w:pStyle w:val="CheckItem"/>
        <w:spacing w:after="100"/>
      </w:pPr>
      <w:r>
        <w:rPr>
          <w:rFonts w:ascii="DejaVu Sans" w:hAnsi="DejaVu Sans"/>
          <w:color w:val="B8862B"/>
          <w:sz w:val="20"/>
        </w:rPr>
        <w:t xml:space="preserve">☑  </w:t>
      </w:r>
      <w:r>
        <w:rPr>
          <w:rFonts w:ascii="Inter" w:hAnsi="Inter"/>
          <w:color w:val="183B58"/>
          <w:sz w:val="19"/>
        </w:rPr>
        <w:t>Create or save this organizer where you can find it again.</w:t>
      </w:r>
    </w:p>
    <w:p>
      <w:pPr>
        <w:pStyle w:val="CheckItem"/>
        <w:spacing w:after="100"/>
      </w:pPr>
      <w:r>
        <w:rPr>
          <w:rFonts w:ascii="DejaVu Sans" w:hAnsi="DejaVu Sans"/>
          <w:color w:val="B8862B"/>
          <w:sz w:val="20"/>
        </w:rPr>
        <w:t xml:space="preserve">☑  </w:t>
      </w:r>
      <w:r>
        <w:rPr>
          <w:rFonts w:ascii="Inter" w:hAnsi="Inter"/>
          <w:color w:val="183B58"/>
          <w:sz w:val="19"/>
        </w:rPr>
        <w:t>Add just two or three resources to the Material Inventory on page 2.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22"/>
      </w:tblGrid>
      <w:tr>
        <w:tc>
          <w:tcPr>
            <w:tcW w:type="dxa" w:w="10022"/>
            <w:shd w:fill="F8F6F1"/>
            <w:tcMar>
              <w:top w:w="115" w:type="dxa"/>
              <w:start w:w="150" w:type="dxa"/>
              <w:bottom w:w="115" w:type="dxa"/>
              <w:end w:w="150" w:type="dxa"/>
            </w:tcMar>
            <w:tcBorders>
              <w:left w:val="single" w:sz="18" w:color="B8862B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color w:val="B8862B"/>
                <w:sz w:val="16"/>
              </w:rPr>
              <w:t>KEEP IT MANAGEABLE</w:t>
            </w:r>
          </w:p>
          <w:p>
            <w:pPr>
              <w:spacing w:after="0"/>
            </w:pPr>
            <w:r>
              <w:rPr>
                <w:rFonts w:ascii="Inter" w:hAnsi="Inter"/>
                <w:color w:val="183B58"/>
                <w:sz w:val="18"/>
              </w:rPr>
              <w:t>You do not need to sort years of journals or decide where every idea belongs. Keep useful material findable, then return to the course.</w:t>
            </w:r>
          </w:p>
        </w:tc>
      </w:tr>
    </w:tbl>
    <w:p>
      <w:r>
        <w:br w:type="page"/>
      </w:r>
    </w:p>
    <w:p>
      <w:pPr>
        <w:spacing w:after="0"/>
        <w:pBdr>
          <w:bottom w:val="single" w:sz="12" w:color="B8862B" w:space="1"/>
        </w:pBdr>
      </w:pPr>
    </w:p>
    <w:p>
      <w:pPr>
        <w:pStyle w:val="Eyebrow"/>
      </w:pPr>
      <w:r>
        <w:t>SOURCE MATERIALS  /  THREE WEEK ONE STARTING ITEMS</w:t>
      </w:r>
    </w:p>
    <w:p>
      <w:pPr>
        <w:pStyle w:val="ResourceTitle"/>
      </w:pPr>
      <w:r>
        <w:t>Material Inventory</w:t>
      </w:r>
    </w:p>
    <w:p>
      <w:pPr>
        <w:pStyle w:val="ResourceKicker"/>
      </w:pPr>
      <w:r>
        <w:t>Rachel records three items she can readily locate. This is enough for Week One; she hasn't evaluated every note, researched passages, or created a 30-day outline.</w:t>
      </w:r>
    </w:p>
    <w:p>
      <w:pPr>
        <w:spacing w:before="0" w:after="200"/>
      </w:pPr>
      <w:r>
        <w:t>Her short descriptions capture possibilities, not conclusions. Original source identifiers R01, R02, and R04 refer to her preserved Starting Snapshot 01.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3571"/>
        <w:gridCol w:w="3859"/>
      </w:tblGrid>
      <w:tr>
        <w:tc>
          <w:tcPr>
            <w:tcW w:type="dxa" w:w="2592"/>
            <w:shd w:fill="0C2A48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FFFFFF"/>
                <w:sz w:val="16"/>
              </w:rPr>
              <w:t>MATERIAL OR IDEA</w:t>
            </w:r>
          </w:p>
        </w:tc>
        <w:tc>
          <w:tcPr>
            <w:tcW w:type="dxa" w:w="3571"/>
            <w:shd w:fill="0C2A48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FFFFFF"/>
                <w:sz w:val="16"/>
              </w:rPr>
              <w:t>WHAT COULD BE USEFUL</w:t>
            </w:r>
          </w:p>
        </w:tc>
        <w:tc>
          <w:tcPr>
            <w:tcW w:type="dxa" w:w="3859"/>
            <w:shd w:fill="0C2A48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FFFFFF"/>
                <w:sz w:val="16"/>
              </w:rPr>
              <w:t>WHERE TO FIND IT / SOURCE</w:t>
            </w:r>
          </w:p>
        </w:tc>
      </w:tr>
      <w:tr>
        <w:trPr>
          <w:trHeight w:val="83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5E6B78"/>
                <w:sz w:val="17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R01 · Spring 2023 journal</w:t>
            </w:r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5E6B78"/>
                <w:sz w:val="17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An uncertain career decision; praying about one concern each morning. The lesson is not yet clear.</w:t>
            </w:r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5E6B78"/>
                <w:sz w:val="17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Personal notebook, spring 2023</w:t>
            </w:r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R02 · Notes on Psalm 77</w:t>
            </w:r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Distress, hard questions, remembering God’s works. Study passage in context later.</w:t>
            </w:r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Bible margin notes, Psalm 77</w:t>
            </w:r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R04 · Prayer notebook</w:t>
            </w:r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Waiting for certainty versus seeking wisdom and taking a responsible next step.</w:t>
            </w:r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Prayer notebook, undated</w:t>
            </w:r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  <w:tr>
        <w:trPr>
          <w:trHeight w:val="965" w:hRule="atLeast"/>
        </w:trPr>
        <w:tc>
          <w:tcPr>
            <w:tcW w:type="dxa" w:w="259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71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859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22"/>
      </w:tblGrid>
      <w:tr>
        <w:tc>
          <w:tcPr>
            <w:tcW w:type="dxa" w:w="10022"/>
            <w:shd w:fill="F8F6F1"/>
            <w:tcMar>
              <w:top w:w="115" w:type="dxa"/>
              <w:start w:w="150" w:type="dxa"/>
              <w:bottom w:w="115" w:type="dxa"/>
              <w:end w:w="150" w:type="dxa"/>
            </w:tcMar>
            <w:tcBorders>
              <w:left w:val="single" w:sz="18" w:color="B8862B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color w:val="B8862B"/>
                <w:sz w:val="16"/>
              </w:rPr>
              <w:t>SOURCE REMINDER</w:t>
            </w:r>
          </w:p>
          <w:p>
            <w:pPr>
              <w:spacing w:after="0"/>
            </w:pPr>
            <w:r>
              <w:rPr>
                <w:rFonts w:ascii="Inter" w:hAnsi="Inter"/>
                <w:color w:val="183B58"/>
                <w:sz w:val="18"/>
              </w:rPr>
              <w:t>Keep track of books, speakers, websites, and other outside sources. Personal stories involving others may also require privacy or permission considerations later.</w:t>
            </w:r>
          </w:p>
        </w:tc>
      </w:tr>
    </w:tbl>
    <w:p>
      <w:r>
        <w:br w:type="page"/>
      </w:r>
    </w:p>
    <w:p>
      <w:pPr>
        <w:spacing w:after="0"/>
        <w:pBdr>
          <w:bottom w:val="single" w:sz="12" w:color="B8862B" w:space="1"/>
        </w:pBdr>
      </w:pPr>
    </w:p>
    <w:p>
      <w:pPr>
        <w:pStyle w:val="Eyebrow"/>
      </w:pPr>
      <w:r>
        <w:t>CAPTURE IDEAS  /  RACHEL’S QUESTIONS FOR LATER</w:t>
      </w:r>
    </w:p>
    <w:p>
      <w:pPr>
        <w:pStyle w:val="ResourceTitle"/>
      </w:pPr>
      <w:r>
        <w:t>Keep Moving Forward</w:t>
      </w:r>
    </w:p>
    <w:p>
      <w:pPr>
        <w:pStyle w:val="ResourceKicker"/>
      </w:pPr>
      <w:r>
        <w:t>Rachel saves possibilities and questions rather than solving them now. This Week One example intentionally contains no finished audience definition, writing approach, or daily outline.</w:t>
      </w:r>
    </w:p>
    <w:p>
      <w:pPr>
        <w:pStyle w:val="ResourceHeading"/>
      </w:pPr>
      <w:r>
        <w:t>Decisions for Later</w:t>
      </w:r>
    </w:p>
    <w:p>
      <w:pPr>
        <w:spacing w:before="0" w:after="160"/>
      </w:pPr>
      <w:r>
        <w:t>Rachel writes down the decision and the point when the course will help her make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0"/>
        <w:gridCol w:w="3542"/>
      </w:tblGrid>
      <w:tr>
        <w:tc>
          <w:tcPr>
            <w:tcW w:type="dxa" w:w="6480"/>
            <w:shd w:fill="0C2A48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FFFFFF"/>
                <w:sz w:val="16"/>
              </w:rPr>
              <w:t>QUESTION OR CHOICE</w:t>
            </w:r>
          </w:p>
        </w:tc>
        <w:tc>
          <w:tcPr>
            <w:tcW w:type="dxa" w:w="3542"/>
            <w:shd w:fill="0C2A48"/>
            <w:tcMar>
              <w:top w:w="95" w:type="dxa"/>
              <w:start w:w="115" w:type="dxa"/>
              <w:bottom w:w="95" w:type="dxa"/>
              <w:end w:w="115" w:type="dxa"/>
            </w:tcMar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FFFFFF"/>
                <w:sz w:val="16"/>
              </w:rPr>
              <w:t>WHEN TO REVISIT</w:t>
            </w:r>
          </w:p>
        </w:tc>
      </w:tr>
      <w:tr>
        <w:trPr>
          <w:trHeight w:val="734" w:hRule="atLeast"/>
        </w:trPr>
        <w:tc>
          <w:tcPr>
            <w:tcW w:type="dxa" w:w="6480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5E6B78"/>
                <w:sz w:val="17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Who is this journal primarily for?</w:t>
            </w:r>
          </w:p>
        </w:tc>
        <w:tc>
          <w:tcPr>
            <w:tcW w:type="dxa" w:w="354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/>
                <w:color w:val="5E6B78"/>
                <w:sz w:val="17"/>
              </w:rPr>
            </w:r>
            <w:r>
              <w:rPr>
                <w:rFonts w:ascii="Inter" w:hAnsi="Inter"/>
                <w:b w:val="0"/>
                <w:color w:val="0D2B49"/>
                <w:sz w:val="20"/>
              </w:rPr>
              <w:t>Week Two</w:t>
            </w:r>
          </w:p>
        </w:tc>
      </w:tr>
      <w:tr>
        <w:trPr>
          <w:trHeight w:val="720" w:hRule="atLeast"/>
        </w:trPr>
        <w:tc>
          <w:tcPr>
            <w:tcW w:type="dxa" w:w="6480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Scripture-led or experience-led writing?</w:t>
            </w:r>
          </w:p>
        </w:tc>
        <w:tc>
          <w:tcPr>
            <w:tcW w:type="dxa" w:w="354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Week Three</w:t>
            </w:r>
          </w:p>
        </w:tc>
      </w:tr>
      <w:tr>
        <w:trPr>
          <w:trHeight w:val="720" w:hRule="atLeast"/>
        </w:trPr>
        <w:tc>
          <w:tcPr>
            <w:tcW w:type="dxa" w:w="6480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Which 30 distinct daily topics will fit?</w:t>
            </w:r>
          </w:p>
        </w:tc>
        <w:tc>
          <w:tcPr>
            <w:tcW w:type="dxa" w:w="354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Week Four</w:t>
            </w:r>
          </w:p>
        </w:tc>
      </w:tr>
      <w:tr>
        <w:trPr>
          <w:trHeight w:val="720" w:hRule="atLeast"/>
        </w:trPr>
        <w:tc>
          <w:tcPr>
            <w:tcW w:type="dxa" w:w="6480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What trim size and cover design?</w:t>
            </w:r>
          </w:p>
        </w:tc>
        <w:tc>
          <w:tcPr>
            <w:tcW w:type="dxa" w:w="3542"/>
            <w:tcMar>
              <w:top w:w="70" w:type="dxa"/>
              <w:start w:w="115" w:type="dxa"/>
              <w:bottom w:w="55" w:type="dxa"/>
              <w:end w:w="115" w:type="dxa"/>
            </w:tcMar>
            <w:shd w:fill="FFFFFF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  <w:r>
              <w:rPr>
                <w:rFonts w:ascii="Inter" w:hAnsi="Inter"/>
                <w:b w:val="0"/>
                <w:color w:val="0D2B49"/>
                <w:sz w:val="20"/>
              </w:rPr>
              <w:t>Publication preparation</w:t>
            </w:r>
          </w:p>
        </w:tc>
      </w:tr>
      <w:tr>
        <w:trPr>
          <w:trHeight w:val="720" w:hRule="atLeast"/>
        </w:trPr>
        <w:tc>
          <w:tcPr>
            <w:tcW w:type="dxa" w:w="6480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  <w:tc>
          <w:tcPr>
            <w:tcW w:type="dxa" w:w="3542"/>
            <w:tcMar>
              <w:top w:w="70" w:type="dxa"/>
              <w:start w:w="115" w:type="dxa"/>
              <w:bottom w:w="55" w:type="dxa"/>
              <w:end w:w="115" w:type="dxa"/>
            </w:tcMar>
            <w:shd w:fill="F8F6F1"/>
            <w:tcBorders>
              <w:bottom w:val="single" w:sz="5" w:color="D9D0C0"/>
            </w:tcBorders>
            <w:vAlign w:val="center"/>
          </w:tcPr>
          <w:p>
            <w:pPr>
              <w:spacing w:after="0"/>
            </w:pPr>
            <w:r/>
          </w:p>
        </w:tc>
      </w:tr>
    </w:tbl>
    <w:p>
      <w:pPr>
        <w:pStyle w:val="ResourceHeading"/>
      </w:pPr>
      <w:r>
        <w:t>New Ideas Worth Saving</w:t>
      </w:r>
    </w:p>
    <w:p>
      <w:pPr>
        <w:spacing w:before="0" w:after="60"/>
      </w:pPr>
      <w:r>
        <w:t>These ideas may be useful, but Rachel is not required to work on them during Week 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22"/>
      </w:tblGrid>
      <w:tr>
        <w:trPr>
          <w:trHeight w:val="504" w:hRule="atLeast"/>
        </w:trPr>
        <w:tc>
          <w:tcPr>
            <w:tcW w:type="dxa" w:w="10022"/>
            <w:tcBorders>
              <w:bottom w:val="single" w:sz="5" w:color="D9D0C0"/>
            </w:tcBorders>
          </w:tcPr>
          <w:p>
            <w:r>
              <w:t xml:space="preserve"> </w:t>
            </w:r>
            <w:r>
              <w:rPr>
                <w:rFonts w:ascii="Inter" w:hAnsi="Inter"/>
                <w:color w:val="0D2B49"/>
                <w:sz w:val="20"/>
              </w:rPr>
              <w:t>R10: A separate prayer journal about hard decisions might be a future book.</w:t>
            </w:r>
          </w:p>
        </w:tc>
      </w:tr>
      <w:tr>
        <w:trPr>
          <w:trHeight w:val="504" w:hRule="atLeast"/>
        </w:trPr>
        <w:tc>
          <w:tcPr>
            <w:tcW w:type="dxa" w:w="10022"/>
            <w:tcBorders>
              <w:bottom w:val="single" w:sz="5" w:color="D9D0C0"/>
            </w:tcBorders>
          </w:tcPr>
          <w:p>
            <w:r>
              <w:t xml:space="preserve"> </w:t>
            </w:r>
            <w:r>
              <w:rPr>
                <w:rFonts w:ascii="Inter" w:hAnsi="Inter"/>
                <w:color w:val="0D2B49"/>
                <w:sz w:val="20"/>
              </w:rPr>
              <w:t>R03: Several early trust questions sound similar; review when learning to write prompts.</w:t>
            </w:r>
          </w:p>
        </w:tc>
      </w:tr>
      <w:tr>
        <w:trPr>
          <w:trHeight w:val="504" w:hRule="atLeast"/>
        </w:trPr>
        <w:tc>
          <w:tcPr>
            <w:tcW w:type="dxa" w:w="10022"/>
            <w:tcBorders>
              <w:bottom w:val="single" w:sz="5" w:color="D9D0C0"/>
            </w:tcBorders>
          </w:tcPr>
          <w:p>
            <w:r>
              <w:t xml:space="preserve"> </w:t>
            </w:r>
          </w:p>
        </w:tc>
      </w:tr>
      <w:tr>
        <w:trPr>
          <w:trHeight w:val="504" w:hRule="atLeast"/>
        </w:trPr>
        <w:tc>
          <w:tcPr>
            <w:tcW w:type="dxa" w:w="10022"/>
            <w:tcBorders>
              <w:bottom w:val="single" w:sz="5" w:color="D9D0C0"/>
            </w:tcBorders>
          </w:tcPr>
          <w:p>
            <w:r>
              <w:t xml:space="preserve"> </w:t>
            </w:r>
          </w:p>
        </w:tc>
      </w:tr>
    </w:tbl>
    <w:p>
      <w:pPr>
        <w:pStyle w:val="ResourceHeading"/>
      </w:pPr>
      <w:r>
        <w:t>Protect Your Work</w:t>
      </w:r>
    </w:p>
    <w:p>
      <w:pPr>
        <w:pStyle w:val="CheckItem"/>
        <w:spacing w:after="60"/>
      </w:pPr>
      <w:r>
        <w:rPr>
          <w:rFonts w:ascii="DejaVu Sans" w:hAnsi="DejaVu Sans"/>
          <w:color w:val="B8862B"/>
          <w:sz w:val="20"/>
        </w:rPr>
        <w:t xml:space="preserve">☑  </w:t>
      </w:r>
      <w:r>
        <w:rPr>
          <w:rFonts w:ascii="Inter" w:hAnsi="Inter"/>
          <w:color w:val="183B58"/>
          <w:sz w:val="19"/>
        </w:rPr>
        <w:t>I know where my working documents are saved.</w:t>
      </w:r>
    </w:p>
    <w:p>
      <w:pPr>
        <w:pStyle w:val="CheckItem"/>
        <w:spacing w:after="60"/>
      </w:pPr>
      <w:r>
        <w:rPr>
          <w:rFonts w:ascii="DejaVu Sans" w:hAnsi="DejaVu Sans"/>
          <w:color w:val="B8862B"/>
          <w:sz w:val="20"/>
        </w:rPr>
        <w:t xml:space="preserve">☑  </w:t>
      </w:r>
      <w:r>
        <w:rPr>
          <w:rFonts w:ascii="Inter" w:hAnsi="Inter"/>
          <w:color w:val="183B58"/>
          <w:sz w:val="19"/>
        </w:rPr>
        <w:t>I have a separate backup or dependable version history.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22"/>
      </w:tblGrid>
      <w:tr>
        <w:tc>
          <w:tcPr>
            <w:tcW w:type="dxa" w:w="10022"/>
            <w:shd w:fill="F8F6F1"/>
            <w:tcMar>
              <w:top w:w="115" w:type="dxa"/>
              <w:start w:w="150" w:type="dxa"/>
              <w:bottom w:w="115" w:type="dxa"/>
              <w:end w:w="150" w:type="dxa"/>
            </w:tcMar>
            <w:tcBorders>
              <w:left w:val="single" w:sz="18" w:color="B8862B"/>
            </w:tcBorders>
          </w:tcPr>
          <w:p>
            <w:pPr>
              <w:spacing w:after="40"/>
            </w:pPr>
            <w:r>
              <w:rPr>
                <w:rFonts w:ascii="Inter" w:hAnsi="Inter"/>
                <w:b/>
                <w:color w:val="B8862B"/>
                <w:sz w:val="16"/>
              </w:rPr>
              <w:t>YOUR WEEK ONE FINISH LINE</w:t>
            </w:r>
          </w:p>
          <w:p>
            <w:pPr>
              <w:spacing w:after="0"/>
            </w:pPr>
            <w:r>
              <w:rPr>
                <w:rFonts w:ascii="Inter" w:hAnsi="Inter"/>
                <w:color w:val="183B58"/>
                <w:sz w:val="18"/>
              </w:rPr>
              <w:t>Rachel has created a home, listed three resources, saved a future idea, and postponed bigger decisions. Her Week One organizer is complete—even though her book plan is not.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10" w:right="1109" w:bottom="950" w:left="1109" w:header="34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Inter" w:hAnsi="Inter"/>
        <w:color w:val="5E6B78"/>
        <w:sz w:val="14"/>
      </w:rPr>
      <w:t xml:space="preserve">© 2026 Create Great Books. All rights reserved.  •  Personal educational use only  •  Page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144" w:lineRule="auto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6"/>
      <w:gridCol w:w="5184"/>
      <w:gridCol w:w="4133"/>
    </w:tblGrid>
    <w:tr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365760" cy="27568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rand_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7568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/>
          <w:r>
            <w:rPr>
              <w:rFonts w:ascii="GFS Baskerville" w:hAnsi="GFS Baskerville"/>
              <w:b/>
              <w:color w:val="0C2A48"/>
              <w:sz w:val="21"/>
            </w:rPr>
            <w:t>CREATE GREAT BOOKS</w:t>
          </w:r>
        </w:p>
      </w:tc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Inter" w:hAnsi="Inter"/>
              <w:b/>
              <w:color w:val="5E6B78"/>
              <w:sz w:val="14"/>
            </w:rPr>
            <w:t>COURSE RESOURCE  /  WEEK ONE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Inter" w:hAnsi="Inter"/>
      <w:color w:val="183B5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Title">
    <w:name w:val="Resource Title"/>
    <w:basedOn w:val="Normal"/>
    <w:pPr>
      <w:spacing w:before="0" w:after="140"/>
    </w:pPr>
    <w:rPr>
      <w:rFonts w:ascii="GFS Baskerville" w:hAnsi="GFS Baskerville"/>
      <w:b/>
      <w:color w:val="0C2A48"/>
      <w:sz w:val="47"/>
    </w:rPr>
  </w:style>
  <w:style w:type="paragraph" w:customStyle="1" w:styleId="ResourceKicker">
    <w:name w:val="Resource Kicker"/>
    <w:basedOn w:val="Normal"/>
    <w:pPr>
      <w:spacing w:before="0" w:after="200"/>
    </w:pPr>
    <w:rPr>
      <w:rFonts w:ascii="Inter" w:hAnsi="Inter"/>
      <w:b w:val="0"/>
      <w:color w:val="5E6B78"/>
      <w:sz w:val="19"/>
    </w:rPr>
  </w:style>
  <w:style w:type="paragraph" w:customStyle="1" w:styleId="Eyebrow">
    <w:name w:val="Eyebrow"/>
    <w:basedOn w:val="Normal"/>
    <w:pPr>
      <w:spacing w:before="0" w:after="40"/>
    </w:pPr>
    <w:rPr>
      <w:rFonts w:ascii="Inter" w:hAnsi="Inter"/>
      <w:b/>
      <w:color w:val="B8862B"/>
      <w:sz w:val="16"/>
    </w:rPr>
  </w:style>
  <w:style w:type="paragraph" w:customStyle="1" w:styleId="ResourceHeading">
    <w:name w:val="Resource Heading"/>
    <w:basedOn w:val="Normal"/>
    <w:pPr>
      <w:spacing w:before="300" w:after="100"/>
    </w:pPr>
    <w:rPr>
      <w:rFonts w:ascii="GFS Baskerville" w:hAnsi="GFS Baskerville"/>
      <w:b/>
      <w:color w:val="0C2A48"/>
      <w:sz w:val="28"/>
    </w:rPr>
  </w:style>
  <w:style w:type="paragraph" w:customStyle="1" w:styleId="ResourceSubheading">
    <w:name w:val="Resource Subheading"/>
    <w:basedOn w:val="Normal"/>
    <w:pPr>
      <w:spacing w:before="180" w:after="80"/>
    </w:pPr>
    <w:rPr>
      <w:rFonts w:ascii="Inter" w:hAnsi="Inter"/>
      <w:b/>
      <w:color w:val="0C2A48"/>
      <w:sz w:val="21"/>
    </w:rPr>
  </w:style>
  <w:style w:type="paragraph" w:customStyle="1" w:styleId="CheckItem">
    <w:name w:val="Check Item"/>
    <w:basedOn w:val="Normal"/>
    <w:pPr>
      <w:spacing w:before="0" w:after="120"/>
    </w:pPr>
    <w:rPr>
      <w:rFonts w:ascii="Inter" w:hAnsi="Inter"/>
      <w:b w:val="0"/>
      <w:color w:val="183B5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Rachel’s Completed Journal Project Organizer — Week One</dc:title>
  <dc:subject>Fictional example of completed Week One Journal Project Organizer</dc:subject>
  <dc:creator>Create Great 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