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center"/>
      </w:pPr>
      <w:r>
        <w:drawing>
          <wp:inline xmlns:a="http://schemas.openxmlformats.org/drawingml/2006/main" xmlns:pic="http://schemas.openxmlformats.org/drawingml/2006/picture">
            <wp:extent cx="5394960" cy="2449505"/>
            <wp:docPr id="1" name="Picture 1" title="Create Great Books logo" descr="Create Great Books logo with open book and pen nib, followed by the words Create Great Books and the tagline Write. Finish. Publish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.cgb_wide_logo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4495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160"/>
        <w:pBdr>
          <w:bottom w:val="single" w:sz="14" w:space="1" w:color="C6A04B"/>
        </w:pBdr>
      </w:pPr>
    </w:p>
    <w:p>
      <w:pPr>
        <w:pStyle w:val="Title"/>
      </w:pPr>
      <w:r>
        <w:t>Progress Emails – Applied</w:t>
      </w:r>
    </w:p>
    <w:p>
      <w:pPr>
        <w:pStyle w:val="Subtitle"/>
      </w:pPr>
      <w:r>
        <w:t>Build Your Reader List While You Write</w:t>
      </w:r>
    </w:p>
    <w:p>
      <w:pPr>
        <w:pStyle w:val="CGBLeadParagraph"/>
        <w:ind w:left="792" w:right="792"/>
        <w:jc w:val="center"/>
      </w:pPr>
      <w:r>
        <w:t>Five worked examples showing how ordinary milestones, revisions, and decisions during the writing process can become engaging emails that keep readers connected to a book in progress.</w:t>
      </w:r>
    </w:p>
    <w:p>
      <w:pPr>
        <w:spacing w:before="480" w:after="80"/>
        <w:jc w:val="center"/>
      </w:pPr>
      <w:r>
        <w:rPr>
          <w:rFonts w:ascii="Libre Baskerville" w:hAnsi="Libre Baskerville"/>
          <w:i/>
          <w:color w:val="C6A04B"/>
          <w:sz w:val="22"/>
        </w:rPr>
        <w:t>A Create Great Books Course Resource</w:t>
      </w:r>
    </w:p>
    <w:p>
      <w:r>
        <w:br w:type="page"/>
      </w:r>
    </w:p>
    <w:p>
      <w:pPr>
        <w:pStyle w:val="Heading1"/>
        <w:keepNext/>
      </w:pPr>
      <w:r>
        <w:t>Example 1</w:t>
      </w:r>
    </w:p>
    <w:p>
      <w:pPr>
        <w:pStyle w:val="Heading2"/>
        <w:keepNext/>
      </w:pPr>
      <w:r>
        <w:t>“I finally finished a difficult chapter”</w:t>
      </w:r>
    </w:p>
    <w:p>
      <w:pPr>
        <w:spacing w:after="200"/>
      </w:pPr>
      <w:r>
        <w:rPr>
          <w:i/>
          <w:color w:val="666666"/>
        </w:rPr>
        <w:t>This style creates emotional realism.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C6A04B"/>
          <w:left w:val="single" w:sz="8" w:space="0" w:color="C6A04B"/>
          <w:bottom w:val="single" w:sz="8" w:space="0" w:color="C6A04B"/>
          <w:right w:val="single" w:sz="8" w:space="0" w:color="C6A04B"/>
        </w:tblBorders>
      </w:tblPr>
      <w:tblGrid>
        <w:gridCol w:w="9706"/>
      </w:tblGrid>
      <w:tr>
        <w:trPr>
          <w:cantSplit/>
        </w:trPr>
        <w:tc>
          <w:tcPr>
            <w:tcW w:type="dxa" w:w="9706"/>
            <w:shd w:fill="FBF7EC" w:val="clear"/>
            <w:tcMar>
              <w:top w:w="130" w:type="dxa"/>
              <w:start w:w="185" w:type="dxa"/>
              <w:bottom w:w="130" w:type="dxa"/>
              <w:end w:w="185" w:type="dxa"/>
            </w:tcMar>
            <w:vAlign w:val="top"/>
          </w:tcPr>
          <w:p>
            <w:pPr>
              <w:spacing w:after="120"/>
            </w:pPr>
            <w:r>
              <w:rPr>
                <w:b/>
              </w:rPr>
              <w:t>Subject: I Finally Finished One of the Most Difficult Chapters</w:t>
            </w:r>
          </w:p>
          <w:p>
            <w:pPr>
              <w:spacing w:after="120"/>
            </w:pPr>
            <w:r>
              <w:rPr>
                <w:b w:val="0"/>
              </w:rPr>
              <w:t xml:space="preserve">I finally completed one of the most difficult chapters in </w:t>
            </w:r>
            <w:r>
              <w:rPr>
                <w:b w:val="0"/>
                <w:i/>
              </w:rPr>
              <w:t>Walking in Word of Wisdom</w:t>
            </w:r>
            <w:r>
              <w:rPr>
                <w:b w:val="0"/>
              </w:rPr>
              <w:t xml:space="preserve"> this week.</w:t>
            </w:r>
          </w:p>
          <w:p>
            <w:pPr>
              <w:spacing w:after="120"/>
            </w:pPr>
            <w:r>
              <w:rPr>
                <w:b w:val="0"/>
              </w:rPr>
              <w:t>The chapter focuses on the difference between revelation and direction — specifically how the Word of Wisdom does not merely reveal information, but provides strategy for what to do in real situations.</w:t>
            </w:r>
          </w:p>
          <w:p>
            <w:pPr>
              <w:spacing w:after="120"/>
            </w:pPr>
            <w:r>
              <w:rPr>
                <w:b w:val="0"/>
              </w:rPr>
              <w:t>I rewrote several sections multiple times because I wanted the ideas to remain practical and understandable rather than overly abstract.</w:t>
            </w:r>
          </w:p>
          <w:p>
            <w:pPr>
              <w:spacing w:after="120"/>
            </w:pPr>
            <w:r>
              <w:rPr>
                <w:b w:val="0"/>
              </w:rPr>
              <w:t>Interestingly, the more I worked on the chapter, the more I realized how often people ask God for answers while rarely asking Him for wisdom about implementation, timing, and action.</w:t>
            </w:r>
          </w:p>
          <w:p>
            <w:pPr>
              <w:spacing w:after="0"/>
            </w:pPr>
            <w:r>
              <w:rPr>
                <w:b w:val="0"/>
              </w:rPr>
              <w:t>I’m very glad to finally have this chapter completed because it has become one of the foundational ideas in the entire book.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Example 2</w:t>
      </w:r>
    </w:p>
    <w:p>
      <w:pPr>
        <w:pStyle w:val="Heading2"/>
        <w:keepNext/>
      </w:pPr>
      <w:r>
        <w:t>“The editing phase has begun”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C6A04B"/>
          <w:left w:val="single" w:sz="8" w:space="0" w:color="C6A04B"/>
          <w:bottom w:val="single" w:sz="8" w:space="0" w:color="C6A04B"/>
          <w:right w:val="single" w:sz="8" w:space="0" w:color="C6A04B"/>
        </w:tblBorders>
      </w:tblPr>
      <w:tblGrid>
        <w:gridCol w:w="9706"/>
      </w:tblGrid>
      <w:tr>
        <w:trPr>
          <w:cantSplit/>
        </w:trPr>
        <w:tc>
          <w:tcPr>
            <w:tcW w:type="dxa" w:w="9706"/>
            <w:shd w:fill="FBF7EC" w:val="clear"/>
            <w:tcMar>
              <w:top w:w="130" w:type="dxa"/>
              <w:start w:w="185" w:type="dxa"/>
              <w:bottom w:w="130" w:type="dxa"/>
              <w:end w:w="185" w:type="dxa"/>
            </w:tcMar>
            <w:vAlign w:val="top"/>
          </w:tcPr>
          <w:p>
            <w:pPr>
              <w:spacing w:after="120"/>
            </w:pPr>
            <w:r>
              <w:rPr>
                <w:b/>
              </w:rPr>
              <w:t>Subject: The Editing Phase Has Officially Begun</w:t>
            </w:r>
          </w:p>
          <w:p>
            <w:pPr>
              <w:spacing w:after="120"/>
            </w:pPr>
            <w:r>
              <w:rPr>
                <w:b w:val="0"/>
              </w:rPr>
              <w:t xml:space="preserve">I’ve officially entered the editing phase for </w:t>
            </w:r>
            <w:r>
              <w:rPr>
                <w:b w:val="0"/>
                <w:i/>
              </w:rPr>
              <w:t>Walking in Word of Wisdom</w:t>
            </w:r>
            <w:r>
              <w:rPr>
                <w:b w:val="0"/>
              </w:rPr>
              <w:t>.</w:t>
            </w:r>
          </w:p>
          <w:p>
            <w:pPr>
              <w:spacing w:after="120"/>
            </w:pPr>
            <w:r>
              <w:rPr>
                <w:b w:val="0"/>
              </w:rPr>
              <w:t>Editing is always an interesting process because it forces me to ask:</w:t>
            </w:r>
            <w:r>
              <w:br/>
            </w:r>
            <w:r>
              <w:rPr>
                <w:b w:val="0"/>
              </w:rPr>
              <w:t>Is this clear?</w:t>
            </w:r>
            <w:r>
              <w:br/>
            </w:r>
            <w:r>
              <w:rPr>
                <w:b w:val="0"/>
              </w:rPr>
              <w:t>Is this practical?</w:t>
            </w:r>
            <w:r>
              <w:br/>
            </w:r>
            <w:r>
              <w:rPr>
                <w:b w:val="0"/>
              </w:rPr>
              <w:t>Does this idea actually communicate what I intended?</w:t>
            </w:r>
          </w:p>
          <w:p>
            <w:pPr>
              <w:spacing w:after="120"/>
            </w:pPr>
            <w:r>
              <w:rPr>
                <w:b w:val="0"/>
              </w:rPr>
              <w:t>One thing I’ve already noticed is that several chapters needed to become simpler and more focused.</w:t>
            </w:r>
          </w:p>
          <w:p>
            <w:pPr>
              <w:spacing w:after="120"/>
            </w:pPr>
            <w:r>
              <w:rPr>
                <w:b w:val="0"/>
              </w:rPr>
              <w:t>The original manuscript contained a lot more material than I ultimately wanted to include, but the more I revised, the more I realized this book works best as a concise and focused exploration of one important subject rather than trying to cover everything at once.</w:t>
            </w:r>
          </w:p>
          <w:p>
            <w:pPr>
              <w:spacing w:after="120"/>
            </w:pPr>
            <w:r>
              <w:rPr>
                <w:b w:val="0"/>
              </w:rPr>
              <w:t>That clarity has already improved the manuscript considerably.</w:t>
            </w:r>
          </w:p>
          <w:p>
            <w:pPr>
              <w:spacing w:after="120"/>
            </w:pPr>
            <w:r>
              <w:rPr>
                <w:b w:val="0"/>
              </w:rPr>
              <w:t>But pressure and wisdom are not the same thing.</w:t>
            </w:r>
          </w:p>
          <w:p>
            <w:pPr>
              <w:spacing w:after="120"/>
            </w:pPr>
            <w:r>
              <w:rPr>
                <w:b w:val="0"/>
              </w:rPr>
              <w:t>Joseph prepared for years before the crisis fully arrived.</w:t>
            </w:r>
            <w:r>
              <w:br/>
            </w:r>
            <w:r>
              <w:rPr>
                <w:b w:val="0"/>
              </w:rPr>
              <w:t>There was patience in the strategy God gave him.</w:t>
            </w:r>
          </w:p>
          <w:p>
            <w:pPr>
              <w:spacing w:after="120"/>
            </w:pPr>
            <w:r>
              <w:rPr>
                <w:b w:val="0"/>
              </w:rPr>
              <w:t>Looking back, some of the decisions I regret most were not necessarily made with bad intentions — they were simply made too quickly.</w:t>
            </w:r>
          </w:p>
          <w:p>
            <w:pPr>
              <w:spacing w:after="120"/>
            </w:pPr>
            <w:r>
              <w:rPr>
                <w:b w:val="0"/>
              </w:rPr>
              <w:t xml:space="preserve">That has made the chapters on timing and preparation especially meaningful for me while writing </w:t>
            </w:r>
            <w:r>
              <w:rPr>
                <w:b w:val="0"/>
                <w:i/>
              </w:rPr>
              <w:t>Walking in Word of Wisdom</w:t>
            </w:r>
            <w:r>
              <w:rPr>
                <w:b w:val="0"/>
              </w:rPr>
              <w:t>.</w:t>
            </w:r>
          </w:p>
          <w:p>
            <w:pPr>
              <w:spacing w:after="0"/>
            </w:pPr>
            <w:r>
              <w:rPr>
                <w:b w:val="0"/>
              </w:rPr>
              <w:t>I think wisdom often feels calmer than fear does.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Example 3</w:t>
      </w:r>
    </w:p>
    <w:p>
      <w:pPr>
        <w:pStyle w:val="Heading2"/>
        <w:keepNext/>
      </w:pPr>
      <w:r>
        <w:t>“I reorganized several chapters”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C6A04B"/>
          <w:left w:val="single" w:sz="8" w:space="0" w:color="C6A04B"/>
          <w:bottom w:val="single" w:sz="8" w:space="0" w:color="C6A04B"/>
          <w:right w:val="single" w:sz="8" w:space="0" w:color="C6A04B"/>
        </w:tblBorders>
      </w:tblPr>
      <w:tblGrid>
        <w:gridCol w:w="9706"/>
      </w:tblGrid>
      <w:tr>
        <w:trPr>
          <w:cantSplit/>
        </w:trPr>
        <w:tc>
          <w:tcPr>
            <w:tcW w:type="dxa" w:w="9706"/>
            <w:shd w:fill="FBF7EC" w:val="clear"/>
            <w:tcMar>
              <w:top w:w="130" w:type="dxa"/>
              <w:start w:w="185" w:type="dxa"/>
              <w:bottom w:w="130" w:type="dxa"/>
              <w:end w:w="185" w:type="dxa"/>
            </w:tcMar>
            <w:vAlign w:val="top"/>
          </w:tcPr>
          <w:p>
            <w:pPr>
              <w:spacing w:after="120"/>
            </w:pPr>
            <w:r>
              <w:rPr>
                <w:b/>
              </w:rPr>
              <w:t>Subject: I Recently Reorganized Several Chapters</w:t>
            </w:r>
          </w:p>
          <w:p>
            <w:pPr>
              <w:spacing w:after="120"/>
            </w:pPr>
            <w:r>
              <w:rPr>
                <w:b w:val="0"/>
              </w:rPr>
              <w:t xml:space="preserve">I spent part of this week reorganizing several chapters in </w:t>
            </w:r>
            <w:r>
              <w:rPr>
                <w:b w:val="0"/>
                <w:i/>
              </w:rPr>
              <w:t>Walking in Word of Wisdom</w:t>
            </w:r>
            <w:r>
              <w:rPr>
                <w:b w:val="0"/>
              </w:rPr>
              <w:t>.</w:t>
            </w:r>
          </w:p>
          <w:p>
            <w:pPr>
              <w:spacing w:after="120"/>
            </w:pPr>
            <w:r>
              <w:rPr>
                <w:b w:val="0"/>
              </w:rPr>
              <w:t>Originally, I approached the book mostly through definitions and distinctions between wisdom, knowledge, and revelation. But as the manuscript developed, I realized the book became much stronger when the chapters followed practical situations and biblical examples more naturally.</w:t>
            </w:r>
          </w:p>
          <w:p>
            <w:pPr>
              <w:spacing w:after="120"/>
            </w:pPr>
            <w:r>
              <w:rPr>
                <w:b w:val="0"/>
              </w:rPr>
              <w:t>Joseph’s story, in particular, began connecting multiple themes together:</w:t>
            </w:r>
            <w:r>
              <w:br/>
            </w:r>
            <w:r>
              <w:rPr>
                <w:b w:val="0"/>
              </w:rPr>
              <w:t>timing,</w:t>
            </w:r>
            <w:r>
              <w:br/>
            </w:r>
            <w:r>
              <w:rPr>
                <w:b w:val="0"/>
              </w:rPr>
              <w:t>preparation,</w:t>
            </w:r>
            <w:r>
              <w:br/>
            </w:r>
            <w:r>
              <w:rPr>
                <w:b w:val="0"/>
              </w:rPr>
              <w:t>leadership,</w:t>
            </w:r>
            <w:r>
              <w:br/>
            </w:r>
            <w:r>
              <w:rPr>
                <w:b w:val="0"/>
              </w:rPr>
              <w:t>strategy,</w:t>
            </w:r>
            <w:r>
              <w:br/>
            </w:r>
            <w:r>
              <w:rPr>
                <w:b w:val="0"/>
              </w:rPr>
              <w:t>and responsibility.</w:t>
            </w:r>
          </w:p>
          <w:p>
            <w:pPr>
              <w:spacing w:after="120"/>
            </w:pPr>
            <w:r>
              <w:rPr>
                <w:b w:val="0"/>
              </w:rPr>
              <w:t>As a result, several chapters were moved into a different order so the progression of ideas would feel clearer and more connected.</w:t>
            </w:r>
          </w:p>
          <w:p>
            <w:pPr>
              <w:spacing w:after="0"/>
            </w:pPr>
            <w:r>
              <w:rPr>
                <w:b w:val="0"/>
              </w:rPr>
              <w:t>It’s interesting how writing a book often becomes a process of discovering the structure while you are building it.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Example 4</w:t>
      </w:r>
    </w:p>
    <w:p>
      <w:pPr>
        <w:pStyle w:val="Heading2"/>
        <w:keepNext/>
      </w:pPr>
      <w:r>
        <w:t>“I moved a topic to a future book”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C6A04B"/>
          <w:left w:val="single" w:sz="8" w:space="0" w:color="C6A04B"/>
          <w:bottom w:val="single" w:sz="8" w:space="0" w:color="C6A04B"/>
          <w:right w:val="single" w:sz="8" w:space="0" w:color="C6A04B"/>
        </w:tblBorders>
      </w:tblPr>
      <w:tblGrid>
        <w:gridCol w:w="9706"/>
      </w:tblGrid>
      <w:tr>
        <w:trPr>
          <w:cantSplit/>
        </w:trPr>
        <w:tc>
          <w:tcPr>
            <w:tcW w:type="dxa" w:w="9706"/>
            <w:shd w:fill="FBF7EC" w:val="clear"/>
            <w:tcMar>
              <w:top w:w="130" w:type="dxa"/>
              <w:start w:w="185" w:type="dxa"/>
              <w:bottom w:w="130" w:type="dxa"/>
              <w:end w:w="185" w:type="dxa"/>
            </w:tcMar>
            <w:vAlign w:val="top"/>
          </w:tcPr>
          <w:p>
            <w:pPr>
              <w:spacing w:after="120"/>
            </w:pPr>
            <w:r>
              <w:rPr>
                <w:b/>
              </w:rPr>
              <w:t>Subject: I Made an Important Decision About the Book</w:t>
            </w:r>
          </w:p>
          <w:p>
            <w:pPr>
              <w:spacing w:after="120"/>
            </w:pPr>
            <w:r>
              <w:rPr>
                <w:b w:val="0"/>
              </w:rPr>
              <w:t xml:space="preserve">I made an important decision about </w:t>
            </w:r>
            <w:r>
              <w:rPr>
                <w:b w:val="0"/>
                <w:i/>
              </w:rPr>
              <w:t>Walking in Word of Wisdom</w:t>
            </w:r>
            <w:r>
              <w:rPr>
                <w:b w:val="0"/>
              </w:rPr>
              <w:t xml:space="preserve"> this week.</w:t>
            </w:r>
          </w:p>
          <w:p>
            <w:pPr>
              <w:spacing w:after="120"/>
            </w:pPr>
            <w:r>
              <w:rPr>
                <w:b w:val="0"/>
              </w:rPr>
              <w:t>There was a section I originally planned to include that explored broader spiritual gifts and prophetic ministry in much greater detail.</w:t>
            </w:r>
          </w:p>
          <w:p>
            <w:pPr>
              <w:spacing w:after="120"/>
            </w:pPr>
            <w:r>
              <w:rPr>
                <w:b w:val="0"/>
              </w:rPr>
              <w:t>But after reviewing the manuscript again, I realized that material deserved its own focused book rather than becoming a large detour inside this one.</w:t>
            </w:r>
          </w:p>
          <w:p>
            <w:pPr>
              <w:spacing w:after="120"/>
            </w:pPr>
            <w:r>
              <w:rPr>
                <w:b w:val="0"/>
              </w:rPr>
              <w:t>So I removed several sections and narrowed the manuscript back toward its central theme:</w:t>
            </w:r>
            <w:r>
              <w:br/>
            </w:r>
            <w:r>
              <w:rPr>
                <w:b w:val="0"/>
              </w:rPr>
              <w:t>the supernatural Word of Wisdom as practical direction and strategy from the Holy Spirit.</w:t>
            </w:r>
          </w:p>
          <w:p>
            <w:pPr>
              <w:spacing w:after="120"/>
            </w:pPr>
            <w:r>
              <w:rPr>
                <w:b w:val="0"/>
              </w:rPr>
              <w:t>Oddly enough, removing material often strengthens a book more than adding material.</w:t>
            </w:r>
          </w:p>
          <w:p>
            <w:pPr>
              <w:spacing w:after="0"/>
            </w:pPr>
            <w:r>
              <w:rPr>
                <w:b w:val="0"/>
              </w:rPr>
              <w:t>The manuscript feels clearer, more focused, and much more aligned with the original purpose now.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Example 5</w:t>
      </w:r>
    </w:p>
    <w:p>
      <w:pPr>
        <w:pStyle w:val="Heading2"/>
        <w:keepNext/>
      </w:pPr>
      <w:r>
        <w:t>“The book is becoming more concise”</w:t>
      </w:r>
    </w:p>
    <w:tbl>
      <w:tblPr>
        <w:tblW w:type="dxa" w:w="9576"/>
        <w:jc w:val="center"/>
        <w:tblLook w:firstColumn="1" w:firstRow="1" w:lastColumn="0" w:lastRow="0" w:noHBand="0" w:noVBand="1" w:val="04A0"/>
        <w:tblBorders>
          <w:top w:val="single" w:sz="8" w:space="0" w:color="C6A04B"/>
          <w:left w:val="single" w:sz="8" w:space="0" w:color="C6A04B"/>
          <w:bottom w:val="single" w:sz="8" w:space="0" w:color="C6A04B"/>
          <w:right w:val="single" w:sz="8" w:space="0" w:color="C6A04B"/>
        </w:tblBorders>
      </w:tblPr>
      <w:tblGrid>
        <w:gridCol w:w="9706"/>
      </w:tblGrid>
      <w:tr>
        <w:trPr>
          <w:cantSplit/>
        </w:trPr>
        <w:tc>
          <w:tcPr>
            <w:tcW w:type="dxa" w:w="9706"/>
            <w:shd w:fill="FBF7EC" w:val="clear"/>
            <w:tcMar>
              <w:top w:w="130" w:type="dxa"/>
              <w:start w:w="185" w:type="dxa"/>
              <w:bottom w:w="130" w:type="dxa"/>
              <w:end w:w="185" w:type="dxa"/>
            </w:tcMar>
            <w:vAlign w:val="top"/>
          </w:tcPr>
          <w:p>
            <w:pPr>
              <w:spacing w:after="120"/>
            </w:pPr>
            <w:r>
              <w:rPr>
                <w:b/>
              </w:rPr>
              <w:t>Subject: The Book Is Becoming More Focused</w:t>
            </w:r>
          </w:p>
          <w:p>
            <w:pPr>
              <w:spacing w:after="120"/>
            </w:pPr>
            <w:r>
              <w:rPr>
                <w:b w:val="0"/>
              </w:rPr>
              <w:t xml:space="preserve">One thing I’ve been working on lately is making </w:t>
            </w:r>
            <w:r>
              <w:rPr>
                <w:b w:val="0"/>
                <w:i/>
              </w:rPr>
              <w:t>Walking in Word of Wisdom</w:t>
            </w:r>
            <w:r>
              <w:rPr>
                <w:b w:val="0"/>
              </w:rPr>
              <w:t xml:space="preserve"> more concise and focused.</w:t>
            </w:r>
          </w:p>
          <w:p>
            <w:pPr>
              <w:spacing w:after="120"/>
            </w:pPr>
            <w:r>
              <w:rPr>
                <w:b w:val="0"/>
              </w:rPr>
              <w:t>Early drafts always tend to grow larger because there are so many related ideas that feel important. But during revision, I realized the strongest books are often not the ones that say everything possible, but the ones that communicate one central idea clearly and powerfully.</w:t>
            </w:r>
          </w:p>
          <w:p>
            <w:pPr>
              <w:spacing w:after="120"/>
            </w:pPr>
            <w:r>
              <w:rPr>
                <w:b w:val="0"/>
              </w:rPr>
              <w:t>As a result, several sections were condensed, simplified, or removed entirely so the main themes could stand out more clearly.</w:t>
            </w:r>
          </w:p>
          <w:p>
            <w:pPr>
              <w:spacing w:after="120"/>
            </w:pPr>
            <w:r>
              <w:rPr>
                <w:b w:val="0"/>
              </w:rPr>
              <w:t>I want this book to feel thoughtful and substantial while still being highly readable and practical for people to apply in real situations.</w:t>
            </w:r>
          </w:p>
          <w:p>
            <w:pPr>
              <w:spacing w:after="0"/>
            </w:pPr>
            <w:r>
              <w:rPr>
                <w:b w:val="0"/>
              </w:rPr>
              <w:t>That balance has become one of the major goals during editing.</w:t>
            </w:r>
          </w:p>
        </w:tc>
      </w:tr>
    </w:tbl>
    <w:sectPr w:rsidR="00FC693F" w:rsidRPr="0006063C" w:rsidSect="00034616">
      <w:headerReference w:type="default" r:id="rId9"/>
      <w:headerReference w:type="first" r:id="rId10"/>
      <w:footerReference w:type="default" r:id="rId11"/>
      <w:footerReference w:type="first" r:id="rId12"/>
      <w:pgSz w:w="12240" w:h="15840"/>
      <w:pgMar w:top="979" w:right="1267" w:bottom="979" w:left="1267" w:header="403" w:footer="40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3024"/>
      <w:gridCol w:w="5256"/>
      <w:gridCol w:w="1426"/>
    </w:tblGrid>
    <w:tr>
      <w:tc>
        <w:tcPr>
          <w:tcW w:type="dxa" w:w="3024"/>
          <w:tcBorders>
            <w:top w:val="single" w:sz="6" w:color="D9DEE3"/>
          </w:tcBorders>
        </w:tcPr>
        <w:p>
          <w:pPr>
            <w:jc w:val="left"/>
          </w:pPr>
          <w:r>
            <w:rPr>
              <w:rFonts w:ascii="Aptos" w:hAnsi="Aptos"/>
              <w:b/>
              <w:color w:val="082B52"/>
              <w:sz w:val="17"/>
            </w:rPr>
            <w:t>Create Great Books</w:t>
          </w:r>
        </w:p>
      </w:tc>
      <w:tc>
        <w:tcPr>
          <w:tcW w:type="dxa" w:w="5256"/>
          <w:tcBorders>
            <w:top w:val="single" w:sz="6" w:color="D9DEE3"/>
          </w:tcBorders>
        </w:tcPr>
        <w:p>
          <w:pPr>
            <w:jc w:val="center"/>
          </w:pPr>
          <w:r>
            <w:rPr>
              <w:rFonts w:ascii="Aptos" w:hAnsi="Aptos"/>
              <w:color w:val="666666"/>
              <w:sz w:val="16"/>
            </w:rPr>
            <w:t>© 2026 Create Great Books. All rights reserved.</w:t>
          </w:r>
        </w:p>
      </w:tc>
      <w:tc>
        <w:tcPr>
          <w:tcW w:type="dxa" w:w="1426"/>
          <w:tcBorders>
            <w:top w:val="single" w:sz="6" w:color="D9DEE3"/>
          </w:tcBorders>
        </w:tcPr>
        <w:p>
          <w:pPr>
            <w:jc w:val="right"/>
          </w:pPr>
          <w:r>
            <w:rPr>
              <w:rFonts w:ascii="Aptos" w:hAnsi="Aptos"/>
              <w:color w:val="666666"/>
              <w:sz w:val="17"/>
            </w:rPr>
            <w:t xml:space="preserve">Page </w:t>
          </w:r>
          <w:r>
            <w:rPr>
              <w:rFonts w:ascii="Aptos" w:hAnsi="Aptos"/>
              <w:color w:val="666666"/>
              <w:sz w:val="17"/>
            </w:rPr>
            <w:fldChar w:fldCharType="begin"/>
            <w:instrText xml:space="preserve">PAGE</w:instrText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6" w:space="4" w:color="D9DEE3"/>
      </w:pBdr>
    </w:pPr>
    <w:r>
      <w:rPr>
        <w:rFonts w:ascii="Aptos" w:hAnsi="Aptos"/>
        <w:color w:val="666666"/>
        <w:sz w:val="15"/>
      </w:rPr>
      <w:t>© 2026 Create Great Books. All rights reserved. For the personal use of the enrolled course member. Not for redistribution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936"/>
      <w:gridCol w:w="8770"/>
    </w:tblGrid>
    <w:tr>
      <w:tc>
        <w:tcPr>
          <w:tcW w:type="dxa" w:w="936"/>
          <w:tcBorders>
            <w:bottom w:val="single" w:sz="8" w:color="C6A04B"/>
          </w:tcBorders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365760" cy="295737"/>
                <wp:docPr id="1" name="Picture 1" title="Create Great Books logo" descr="Open book and pen-nib Create Great Books logo.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.cgb_icon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5760" cy="29573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770"/>
          <w:tcBorders>
            <w:bottom w:val="single" w:sz="8" w:color="C6A04B"/>
          </w:tcBorders>
        </w:tcPr>
        <w:p>
          <w:pPr>
            <w:jc w:val="right"/>
          </w:pPr>
          <w:r>
            <w:rPr>
              <w:rFonts w:ascii="Aptos" w:hAnsi="Aptos"/>
              <w:b/>
              <w:color w:val="082B52"/>
              <w:sz w:val="17"/>
            </w:rPr>
            <w:t>BUILD YOUR READER LIST WHILE YOU WRITE</w:t>
          </w:r>
        </w:p>
      </w:tc>
    </w:tr>
  </w:tbl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Libre Baskerville" w:hAnsi="Libre Baskerville"/>
      <w:b w:val="0"/>
      <w:bCs/>
      <w:color w:val="082B5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Libre Baskerville" w:hAnsi="Libre Baskerville"/>
      <w:b w:val="0"/>
      <w:bCs/>
      <w:color w:val="082B5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C6A04B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120"/>
      <w:contextualSpacing/>
      <w:jc w:val="center"/>
    </w:pPr>
    <w:rPr>
      <w:rFonts w:asciiTheme="majorHAnsi" w:eastAsiaTheme="majorEastAsia" w:hAnsiTheme="majorHAnsi" w:cstheme="majorBidi" w:ascii="Libre Baskerville" w:hAnsi="Libre Baskerville"/>
      <w:b w:val="0"/>
      <w:color w:val="082B52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 w:ascii="Aptos" w:hAnsi="Aptos"/>
      <w:i/>
      <w:iCs/>
      <w:color w:val="C6A04B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ptos" w:hAnsi="Aptos"/>
      <w:color w:val="222222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Aptos" w:hAnsi="Aptos"/>
      <w:color w:val="222222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20" w:after="160"/>
      <w:ind w:left="504" w:right="504"/>
    </w:pPr>
    <w:rPr>
      <w:rFonts w:ascii="Libre Baskerville" w:hAnsi="Libre Baskerville"/>
      <w:i/>
      <w:iCs/>
      <w:color w:val="082B52"/>
      <w:sz w:val="23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mplateGuidance">
    <w:name w:val="Template Guidance"/>
    <w:pPr>
      <w:spacing w:after="100"/>
    </w:pPr>
    <w:rPr>
      <w:rFonts w:ascii="Aptos" w:hAnsi="Aptos"/>
      <w:i/>
      <w:color w:val="666666"/>
      <w:sz w:val="17"/>
    </w:rPr>
  </w:style>
  <w:style w:type="paragraph" w:customStyle="1" w:styleId="CGBLeadParagraph">
    <w:name w:val="CGB Lead Paragraph"/>
    <w:pPr>
      <w:spacing w:after="160" w:line="269" w:lineRule="auto"/>
    </w:pPr>
    <w:rPr>
      <w:rFonts w:ascii="Aptos" w:hAnsi="Aptos"/>
      <w:color w:val="333333"/>
      <w:sz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 Emails – Applied</dc:title>
  <dc:subject>Build Your Reader List While You Write course resource</dc:subject>
  <dc:creator>Create Great Books</dc:creator>
  <cp:keywords>Create Great Books, Build Your Reader List While You Write, progress emails, reader emails, email examples</cp:keywords>
  <dc:description>Course resource master file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