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center"/>
      </w:pPr>
      <w:r>
        <w:drawing>
          <wp:inline xmlns:a="http://schemas.openxmlformats.org/drawingml/2006/main" xmlns:pic="http://schemas.openxmlformats.org/drawingml/2006/picture">
            <wp:extent cx="5394960" cy="2449505"/>
            <wp:docPr id="1" name="Picture 1" title="Create Great Books logo" descr="Create Great Books logo with open book and pen nib, followed by the words Create Great Books and the tagline Write. Finish. Publish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.cgb_wide_logo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24495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160"/>
        <w:pBdr>
          <w:bottom w:val="single" w:sz="14" w:space="1" w:color="C6A04B"/>
        </w:pBdr>
      </w:pPr>
    </w:p>
    <w:p>
      <w:pPr>
        <w:pStyle w:val="Title"/>
      </w:pPr>
      <w:r>
        <w:t>Personal Reflection Emails – Applied</w:t>
      </w:r>
    </w:p>
    <w:p>
      <w:pPr>
        <w:pStyle w:val="Subtitle"/>
      </w:pPr>
      <w:r>
        <w:t>Build Your Reader List While You Write</w:t>
      </w:r>
    </w:p>
    <w:p>
      <w:pPr>
        <w:pStyle w:val="CGBLeadParagraph"/>
        <w:ind w:left="792" w:right="792"/>
        <w:jc w:val="center"/>
      </w:pPr>
      <w:r>
        <w:t>Three worked examples showing how personal reflection can create warm, honest emails that connect an author’s experience to the book in progress.</w:t>
      </w:r>
    </w:p>
    <w:p>
      <w:pPr>
        <w:spacing w:before="480" w:after="80"/>
        <w:jc w:val="center"/>
      </w:pPr>
      <w:r>
        <w:rPr>
          <w:rFonts w:ascii="Libre Baskerville" w:hAnsi="Libre Baskerville"/>
          <w:i/>
          <w:color w:val="C6A04B"/>
          <w:sz w:val="22"/>
        </w:rPr>
        <w:t>A Create Great Books Course Resource</w:t>
      </w:r>
    </w:p>
    <w:p>
      <w:r>
        <w:br w:type="page"/>
      </w:r>
    </w:p>
    <w:p>
      <w:pPr>
        <w:pStyle w:val="Heading1"/>
        <w:keepNext/>
      </w:pPr>
      <w:r>
        <w:t>Example 1</w:t>
      </w:r>
    </w:p>
    <w:p>
      <w:pPr>
        <w:pStyle w:val="Heading2"/>
        <w:keepNext/>
      </w:pPr>
      <w:r>
        <w:t>“A situation that made me think differently”</w:t>
      </w:r>
    </w:p>
    <w:p>
      <w:pPr>
        <w:spacing w:after="200"/>
      </w:pPr>
      <w:r>
        <w:rPr>
          <w:i/>
          <w:color w:val="666666"/>
        </w:rPr>
        <w:t>This style creates emotional realism.</w:t>
      </w:r>
    </w:p>
    <w:tbl>
      <w:tblPr>
        <w:tblW w:type="dxa" w:w="9576"/>
        <w:jc w:val="center"/>
        <w:tblLook w:firstColumn="1" w:firstRow="1" w:lastColumn="0" w:lastRow="0" w:noHBand="0" w:noVBand="1" w:val="04A0"/>
        <w:tblBorders>
          <w:top w:val="single" w:sz="8" w:space="0" w:color="C6A04B"/>
          <w:left w:val="single" w:sz="8" w:space="0" w:color="C6A04B"/>
          <w:bottom w:val="single" w:sz="8" w:space="0" w:color="C6A04B"/>
          <w:right w:val="single" w:sz="8" w:space="0" w:color="C6A04B"/>
        </w:tblBorders>
      </w:tblPr>
      <w:tblGrid>
        <w:gridCol w:w="9706"/>
      </w:tblGrid>
      <w:tr>
        <w:trPr>
          <w:cantSplit/>
        </w:trPr>
        <w:tc>
          <w:tcPr>
            <w:tcW w:type="dxa" w:w="9706"/>
            <w:shd w:fill="FBF7EC" w:val="clear"/>
            <w:tcMar>
              <w:top w:w="130" w:type="dxa"/>
              <w:start w:w="185" w:type="dxa"/>
              <w:bottom w:w="130" w:type="dxa"/>
              <w:end w:w="185" w:type="dxa"/>
            </w:tcMar>
            <w:vAlign w:val="top"/>
          </w:tcPr>
          <w:p>
            <w:pPr>
              <w:spacing w:after="120"/>
            </w:pPr>
            <w:r>
              <w:rPr>
                <w:b/>
                <w:i w:val="0"/>
              </w:rPr>
              <w:t>Subject: A Situation That Changed the Way I Think About Wisdom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 xml:space="preserve">While writing </w:t>
            </w:r>
            <w:r>
              <w:rPr>
                <w:b w:val="0"/>
                <w:i/>
              </w:rPr>
              <w:t>Walking in Word of Wisdom</w:t>
            </w:r>
            <w:r>
              <w:rPr>
                <w:b w:val="0"/>
                <w:i w:val="0"/>
              </w:rPr>
              <w:t>, I found myself thinking back to a situation years ago where I desperately wanted clarity from God.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>At the time, I kept asking for certainty.</w:t>
            </w:r>
            <w:r>
              <w:br/>
            </w:r>
            <w:r>
              <w:rPr>
                <w:b w:val="0"/>
                <w:i w:val="0"/>
              </w:rPr>
              <w:t>I wanted complete understanding.</w:t>
            </w:r>
            <w:r>
              <w:br/>
            </w:r>
            <w:r>
              <w:rPr>
                <w:b w:val="0"/>
                <w:i w:val="0"/>
              </w:rPr>
              <w:t>I wanted every detail explained.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>But looking back now, I realize what I actually needed was wisdom about what to do next.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>Not full knowledge.</w:t>
            </w:r>
            <w:r>
              <w:br/>
            </w:r>
            <w:r>
              <w:rPr>
                <w:b w:val="0"/>
                <w:i w:val="0"/>
              </w:rPr>
              <w:t>Not every answer.</w:t>
            </w:r>
            <w:r>
              <w:br/>
            </w:r>
            <w:r>
              <w:rPr>
                <w:b w:val="0"/>
                <w:i w:val="0"/>
              </w:rPr>
              <w:t>Just direction for the next step.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>That realization has affected several chapters in this book because I think many of us assume wisdom means knowing everything, when often wisdom simply means receiving enough direction to move forward faithfully.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The older I get, the more I realize how often God gives guidance progressively rather than all at once.</w:t>
            </w:r>
          </w:p>
        </w:tc>
      </w:tr>
    </w:tbl>
    <w:p>
      <w:pPr>
        <w:pStyle w:val="Heading3"/>
        <w:keepNext/>
        <w:spacing w:before="200"/>
      </w:pPr>
      <w:r>
        <w:t>Why this works</w:t>
      </w:r>
    </w:p>
    <w:p>
      <w:pPr>
        <w:pStyle w:val="ListBullet"/>
        <w:spacing w:after="40"/>
      </w:pPr>
      <w:r>
        <w:t>personal without oversharing</w:t>
      </w:r>
    </w:p>
    <w:p>
      <w:pPr>
        <w:pStyle w:val="ListBullet"/>
        <w:spacing w:after="40"/>
      </w:pPr>
      <w:r>
        <w:t>emotionally relatable</w:t>
      </w:r>
    </w:p>
    <w:p>
      <w:pPr>
        <w:pStyle w:val="ListBullet"/>
        <w:spacing w:after="40"/>
      </w:pPr>
      <w:r>
        <w:t>connects experience to the book naturally</w:t>
      </w:r>
    </w:p>
    <w:p>
      <w:r>
        <w:br w:type="page"/>
      </w:r>
    </w:p>
    <w:p>
      <w:pPr>
        <w:pStyle w:val="Heading1"/>
        <w:keepNext/>
      </w:pPr>
      <w:r>
        <w:t>Example 2</w:t>
      </w:r>
    </w:p>
    <w:p>
      <w:pPr>
        <w:pStyle w:val="Heading2"/>
        <w:keepNext/>
      </w:pPr>
      <w:r>
        <w:t>“A mistake that taught something important”</w:t>
      </w:r>
    </w:p>
    <w:p>
      <w:pPr>
        <w:spacing w:after="200"/>
      </w:pPr>
      <w:r>
        <w:rPr>
          <w:i/>
          <w:color w:val="666666"/>
        </w:rPr>
        <w:t>This type of email builds enormous trust because readers connect with honesty.</w:t>
      </w:r>
    </w:p>
    <w:tbl>
      <w:tblPr>
        <w:tblW w:type="dxa" w:w="9576"/>
        <w:jc w:val="center"/>
        <w:tblLook w:firstColumn="1" w:firstRow="1" w:lastColumn="0" w:lastRow="0" w:noHBand="0" w:noVBand="1" w:val="04A0"/>
        <w:tblBorders>
          <w:top w:val="single" w:sz="8" w:space="0" w:color="C6A04B"/>
          <w:left w:val="single" w:sz="8" w:space="0" w:color="C6A04B"/>
          <w:bottom w:val="single" w:sz="8" w:space="0" w:color="C6A04B"/>
          <w:right w:val="single" w:sz="8" w:space="0" w:color="C6A04B"/>
        </w:tblBorders>
      </w:tblPr>
      <w:tblGrid>
        <w:gridCol w:w="9706"/>
      </w:tblGrid>
      <w:tr>
        <w:trPr>
          <w:cantSplit/>
        </w:trPr>
        <w:tc>
          <w:tcPr>
            <w:tcW w:type="dxa" w:w="9706"/>
            <w:shd w:fill="FBF7EC" w:val="clear"/>
            <w:tcMar>
              <w:top w:w="130" w:type="dxa"/>
              <w:start w:w="185" w:type="dxa"/>
              <w:bottom w:w="130" w:type="dxa"/>
              <w:end w:w="185" w:type="dxa"/>
            </w:tcMar>
            <w:vAlign w:val="top"/>
          </w:tcPr>
          <w:p>
            <w:pPr>
              <w:spacing w:after="120"/>
            </w:pPr>
            <w:r>
              <w:rPr>
                <w:b/>
                <w:i w:val="0"/>
              </w:rPr>
              <w:t>Subject: One Mistake That Taught Me Something Important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>One thing I’ve realized while writing this book is how often I confused urgency with wisdom earlier in my life.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>There were situations where I felt pressure to act quickly simply because circumstances felt intense or emotional.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>But pressure and wisdom are not the same thing.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>Joseph prepared for years before the crisis fully arrived.</w:t>
            </w:r>
            <w:r>
              <w:br/>
            </w:r>
            <w:r>
              <w:rPr>
                <w:b w:val="0"/>
                <w:i w:val="0"/>
              </w:rPr>
              <w:t>There was patience in the strategy God gave him.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>Looking back, some of the decisions I regret most were not necessarily made with bad intentions — they were simply made too quickly.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 xml:space="preserve">That has made the chapters on timing and preparation especially meaningful for me while writing </w:t>
            </w:r>
            <w:r>
              <w:rPr>
                <w:b w:val="0"/>
                <w:i/>
              </w:rPr>
              <w:t>Walking in Word of Wisdom</w:t>
            </w:r>
            <w:r>
              <w:rPr>
                <w:b w:val="0"/>
                <w:i w:val="0"/>
              </w:rPr>
              <w:t>.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I think wisdom often feels calmer than fear does.</w:t>
            </w:r>
          </w:p>
        </w:tc>
      </w:tr>
    </w:tbl>
    <w:p>
      <w:pPr>
        <w:pStyle w:val="Heading3"/>
        <w:keepNext/>
        <w:spacing w:before="200"/>
      </w:pPr>
      <w:r>
        <w:t>Why this works</w:t>
      </w:r>
    </w:p>
    <w:p>
      <w:pPr>
        <w:pStyle w:val="ListBullet"/>
        <w:spacing w:after="40"/>
      </w:pPr>
      <w:r>
        <w:t>relatable</w:t>
      </w:r>
    </w:p>
    <w:p>
      <w:pPr>
        <w:pStyle w:val="ListBullet"/>
        <w:spacing w:after="40"/>
      </w:pPr>
      <w:r>
        <w:t>insightful</w:t>
      </w:r>
    </w:p>
    <w:p>
      <w:pPr>
        <w:pStyle w:val="ListBullet"/>
        <w:spacing w:after="40"/>
      </w:pPr>
      <w:r>
        <w:t>opens curiosity without over-teaching</w:t>
      </w:r>
    </w:p>
    <w:p>
      <w:r>
        <w:br w:type="page"/>
      </w:r>
    </w:p>
    <w:p>
      <w:pPr>
        <w:pStyle w:val="Heading1"/>
        <w:keepNext/>
      </w:pPr>
      <w:r>
        <w:t>Example 3</w:t>
      </w:r>
    </w:p>
    <w:p>
      <w:pPr>
        <w:pStyle w:val="Heading2"/>
        <w:keepNext/>
      </w:pPr>
      <w:r>
        <w:t>“A realization during the writing process”</w:t>
      </w:r>
    </w:p>
    <w:p>
      <w:pPr>
        <w:spacing w:after="200"/>
      </w:pPr>
      <w:r>
        <w:rPr>
          <w:i/>
          <w:color w:val="666666"/>
        </w:rPr>
        <w:t>This style shows transformation happening during authorship itself.</w:t>
      </w:r>
    </w:p>
    <w:tbl>
      <w:tblPr>
        <w:tblW w:type="dxa" w:w="9576"/>
        <w:jc w:val="center"/>
        <w:tblLook w:firstColumn="1" w:firstRow="1" w:lastColumn="0" w:lastRow="0" w:noHBand="0" w:noVBand="1" w:val="04A0"/>
        <w:tblBorders>
          <w:top w:val="single" w:sz="8" w:space="0" w:color="C6A04B"/>
          <w:left w:val="single" w:sz="8" w:space="0" w:color="C6A04B"/>
          <w:bottom w:val="single" w:sz="8" w:space="0" w:color="C6A04B"/>
          <w:right w:val="single" w:sz="8" w:space="0" w:color="C6A04B"/>
        </w:tblBorders>
      </w:tblPr>
      <w:tblGrid>
        <w:gridCol w:w="9706"/>
      </w:tblGrid>
      <w:tr>
        <w:trPr>
          <w:cantSplit/>
        </w:trPr>
        <w:tc>
          <w:tcPr>
            <w:tcW w:type="dxa" w:w="9706"/>
            <w:shd w:fill="FBF7EC" w:val="clear"/>
            <w:tcMar>
              <w:top w:w="130" w:type="dxa"/>
              <w:start w:w="185" w:type="dxa"/>
              <w:bottom w:w="130" w:type="dxa"/>
              <w:end w:w="185" w:type="dxa"/>
            </w:tcMar>
            <w:vAlign w:val="top"/>
          </w:tcPr>
          <w:p>
            <w:pPr>
              <w:spacing w:after="120"/>
            </w:pPr>
            <w:r>
              <w:rPr>
                <w:b/>
                <w:i w:val="0"/>
              </w:rPr>
              <w:t>Subject: Something This Book Has Been Teaching Me Personally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 xml:space="preserve">One unexpected part of writing </w:t>
            </w:r>
            <w:r>
              <w:rPr>
                <w:b w:val="0"/>
                <w:i/>
              </w:rPr>
              <w:t>Walking in Word of Wisdom</w:t>
            </w:r>
            <w:r>
              <w:rPr>
                <w:b w:val="0"/>
                <w:i w:val="0"/>
              </w:rPr>
              <w:t xml:space="preserve"> is realizing how much the subject has been affecting my own thinking while I write.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>I originally approached the book mostly through biblical examples and theological distinctions.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>But as the manuscript has developed, I’ve become much more aware of how often wisdom appears in ordinary situations:</w:t>
            </w:r>
            <w:r>
              <w:br/>
            </w:r>
            <w:r>
              <w:rPr>
                <w:b w:val="0"/>
                <w:i w:val="0"/>
              </w:rPr>
              <w:t>conversations,</w:t>
            </w:r>
            <w:r>
              <w:br/>
            </w:r>
            <w:r>
              <w:rPr>
                <w:b w:val="0"/>
                <w:i w:val="0"/>
              </w:rPr>
              <w:t>timing,</w:t>
            </w:r>
            <w:r>
              <w:br/>
            </w:r>
            <w:r>
              <w:rPr>
                <w:b w:val="0"/>
                <w:i w:val="0"/>
              </w:rPr>
              <w:t>restraint,</w:t>
            </w:r>
            <w:r>
              <w:br/>
            </w:r>
            <w:r>
              <w:rPr>
                <w:b w:val="0"/>
                <w:i w:val="0"/>
              </w:rPr>
              <w:t>decisions,</w:t>
            </w:r>
            <w:r>
              <w:br/>
            </w:r>
            <w:r>
              <w:rPr>
                <w:b w:val="0"/>
                <w:i w:val="0"/>
              </w:rPr>
              <w:t>preparation,</w:t>
            </w:r>
            <w:r>
              <w:br/>
            </w:r>
            <w:r>
              <w:rPr>
                <w:b w:val="0"/>
                <w:i w:val="0"/>
              </w:rPr>
              <w:t>and knowing when not to act.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>I think I once imagined the Word of Wisdom mainly in dramatic moments.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>Now I’m beginning to suspect that some of the most important expressions of wisdom happen quietly — long before anyone sees the outcome.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That realization has probably shaped this book more than anything else so far.</w:t>
            </w:r>
          </w:p>
        </w:tc>
      </w:tr>
    </w:tbl>
    <w:p>
      <w:pPr>
        <w:pStyle w:val="Heading3"/>
        <w:keepNext/>
        <w:spacing w:before="200"/>
      </w:pPr>
      <w:r>
        <w:t>Why this works</w:t>
      </w:r>
    </w:p>
    <w:p>
      <w:pPr>
        <w:pStyle w:val="ListBullet"/>
        <w:spacing w:after="40"/>
      </w:pPr>
      <w:r>
        <w:t>reflective</w:t>
      </w:r>
    </w:p>
    <w:p>
      <w:pPr>
        <w:pStyle w:val="ListBullet"/>
        <w:spacing w:after="40"/>
      </w:pPr>
      <w:r>
        <w:t>spiritually mature</w:t>
      </w:r>
    </w:p>
    <w:p>
      <w:pPr>
        <w:pStyle w:val="ListBullet"/>
        <w:spacing w:after="40"/>
      </w:pPr>
      <w:r>
        <w:t>emotionally grounded</w:t>
      </w:r>
    </w:p>
    <w:p>
      <w:pPr>
        <w:pStyle w:val="ListBullet"/>
        <w:spacing w:after="40"/>
      </w:pPr>
      <w:r>
        <w:t>naturally invites curiosity</w:t>
      </w:r>
    </w:p>
    <w:sectPr w:rsidR="00FC693F" w:rsidRPr="0006063C" w:rsidSect="00034616">
      <w:headerReference w:type="default" r:id="rId9"/>
      <w:headerReference w:type="first" r:id="rId10"/>
      <w:footerReference w:type="default" r:id="rId11"/>
      <w:footerReference w:type="first" r:id="rId12"/>
      <w:pgSz w:w="12240" w:h="15840"/>
      <w:pgMar w:top="979" w:right="1267" w:bottom="979" w:left="1267" w:header="403" w:footer="403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3024"/>
      <w:gridCol w:w="5256"/>
      <w:gridCol w:w="1426"/>
    </w:tblGrid>
    <w:tr>
      <w:tc>
        <w:tcPr>
          <w:tcW w:type="dxa" w:w="3024"/>
          <w:tcBorders>
            <w:top w:val="single" w:sz="6" w:color="D9DEE3"/>
          </w:tcBorders>
        </w:tcPr>
        <w:p>
          <w:pPr>
            <w:jc w:val="left"/>
          </w:pPr>
          <w:r>
            <w:rPr>
              <w:rFonts w:ascii="Aptos" w:hAnsi="Aptos"/>
              <w:b/>
              <w:color w:val="082B52"/>
              <w:sz w:val="17"/>
            </w:rPr>
            <w:t>Create Great Books</w:t>
          </w:r>
        </w:p>
      </w:tc>
      <w:tc>
        <w:tcPr>
          <w:tcW w:type="dxa" w:w="5256"/>
          <w:tcBorders>
            <w:top w:val="single" w:sz="6" w:color="D9DEE3"/>
          </w:tcBorders>
        </w:tcPr>
        <w:p>
          <w:pPr>
            <w:jc w:val="center"/>
          </w:pPr>
          <w:r>
            <w:rPr>
              <w:rFonts w:ascii="Aptos" w:hAnsi="Aptos"/>
              <w:color w:val="666666"/>
              <w:sz w:val="16"/>
            </w:rPr>
            <w:t>© 2026 Create Great Books. All rights reserved.</w:t>
          </w:r>
        </w:p>
      </w:tc>
      <w:tc>
        <w:tcPr>
          <w:tcW w:type="dxa" w:w="1426"/>
          <w:tcBorders>
            <w:top w:val="single" w:sz="6" w:color="D9DEE3"/>
          </w:tcBorders>
        </w:tcPr>
        <w:p>
          <w:pPr>
            <w:jc w:val="right"/>
          </w:pPr>
          <w:r>
            <w:rPr>
              <w:rFonts w:ascii="Aptos" w:hAnsi="Aptos"/>
              <w:color w:val="666666"/>
              <w:sz w:val="17"/>
            </w:rPr>
            <w:t xml:space="preserve">Page </w:t>
          </w:r>
          <w:r>
            <w:rPr>
              <w:rFonts w:ascii="Aptos" w:hAnsi="Aptos"/>
              <w:color w:val="666666"/>
              <w:sz w:val="17"/>
            </w:rPr>
            <w:fldChar w:fldCharType="begin"/>
            <w:instrText xml:space="preserve">PAGE</w:instrText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6" w:space="4" w:color="D9DEE3"/>
      </w:pBdr>
    </w:pPr>
    <w:r>
      <w:rPr>
        <w:rFonts w:ascii="Aptos" w:hAnsi="Aptos"/>
        <w:color w:val="666666"/>
        <w:sz w:val="15"/>
      </w:rPr>
      <w:t>© 2026 Create Great Books. All rights reserved. For the personal use of the enrolled course member. Not for redistribution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936"/>
      <w:gridCol w:w="8770"/>
    </w:tblGrid>
    <w:tr>
      <w:tc>
        <w:tcPr>
          <w:tcW w:type="dxa" w:w="936"/>
          <w:tcBorders>
            <w:bottom w:val="single" w:sz="8" w:color="C6A04B"/>
          </w:tcBorders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365760" cy="295737"/>
                <wp:docPr id="1" name="Picture 1" title="Create Great Books logo" descr="Open book and pen-nib Create Great Books logo.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.cgb_icon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29573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770"/>
          <w:tcBorders>
            <w:bottom w:val="single" w:sz="8" w:color="C6A04B"/>
          </w:tcBorders>
        </w:tcPr>
        <w:p>
          <w:pPr>
            <w:jc w:val="right"/>
          </w:pPr>
          <w:r>
            <w:rPr>
              <w:rFonts w:ascii="Aptos" w:hAnsi="Aptos"/>
              <w:b/>
              <w:color w:val="082B52"/>
              <w:sz w:val="17"/>
            </w:rPr>
            <w:t>BUILD YOUR READER LIST WHILE YOU WRITE</w:t>
          </w:r>
        </w:p>
      </w:tc>
    </w:tr>
  </w:tbl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Libre Baskerville" w:hAnsi="Libre Baskerville"/>
      <w:b w:val="0"/>
      <w:bCs/>
      <w:color w:val="082B5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 w:ascii="Libre Baskerville" w:hAnsi="Libre Baskerville"/>
      <w:b w:val="0"/>
      <w:bCs/>
      <w:color w:val="082B52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C6A04B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120"/>
      <w:contextualSpacing/>
      <w:jc w:val="center"/>
    </w:pPr>
    <w:rPr>
      <w:rFonts w:asciiTheme="majorHAnsi" w:eastAsiaTheme="majorEastAsia" w:hAnsiTheme="majorHAnsi" w:cstheme="majorBidi" w:ascii="Libre Baskerville" w:hAnsi="Libre Baskerville"/>
      <w:b w:val="0"/>
      <w:color w:val="082B52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 w:ascii="Aptos" w:hAnsi="Aptos"/>
      <w:i/>
      <w:iCs/>
      <w:color w:val="C6A04B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Aptos" w:hAnsi="Aptos"/>
      <w:color w:val="222222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  <w:rPr>
      <w:rFonts w:ascii="Aptos" w:hAnsi="Aptos"/>
      <w:color w:val="222222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20" w:after="160"/>
      <w:ind w:left="504" w:right="504"/>
    </w:pPr>
    <w:rPr>
      <w:rFonts w:ascii="Libre Baskerville" w:hAnsi="Libre Baskerville"/>
      <w:i/>
      <w:iCs/>
      <w:color w:val="082B52"/>
      <w:sz w:val="23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emplateGuidance">
    <w:name w:val="Template Guidance"/>
    <w:pPr>
      <w:spacing w:after="100"/>
    </w:pPr>
    <w:rPr>
      <w:rFonts w:ascii="Aptos" w:hAnsi="Aptos"/>
      <w:i/>
      <w:color w:val="666666"/>
      <w:sz w:val="17"/>
    </w:rPr>
  </w:style>
  <w:style w:type="paragraph" w:customStyle="1" w:styleId="CGBLeadParagraph">
    <w:name w:val="CGB Lead Paragraph"/>
    <w:pPr>
      <w:spacing w:after="160" w:line="269" w:lineRule="auto"/>
    </w:pPr>
    <w:rPr>
      <w:rFonts w:ascii="Aptos" w:hAnsi="Aptos"/>
      <w:color w:val="333333"/>
      <w:sz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Reflection Emails – Applied</dc:title>
  <dc:subject>Build Your Reader List While You Write course resource</dc:subject>
  <dc:creator>Create Great Books</dc:creator>
  <cp:keywords>Create Great Books, Build Your Reader List While You Write, personal reflection emails, reader emails, email examples</cp:keywords>
  <dc:description>Course resource master file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