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center"/>
      </w:pPr>
      <w:r>
        <w:drawing>
          <wp:inline xmlns:a="http://schemas.openxmlformats.org/drawingml/2006/main" xmlns:pic="http://schemas.openxmlformats.org/drawingml/2006/picture">
            <wp:extent cx="5394960" cy="2449505"/>
            <wp:docPr id="1" name="Picture 1" title="Create Great Books logo" descr="Create Great Books logo with open book and pen nib, followed by the words Create Great Books and the tagline Write. Finish. Publish."/>
            <wp:cNvGraphicFramePr>
              <a:graphicFrameLocks noChangeAspect="1"/>
            </wp:cNvGraphicFramePr>
            <a:graphic>
              <a:graphicData uri="http://schemas.openxmlformats.org/drawingml/2006/picture">
                <pic:pic>
                  <pic:nvPicPr>
                    <pic:cNvPr id="0" name=".cgb_wide_logo.png"/>
                    <pic:cNvPicPr/>
                  </pic:nvPicPr>
                  <pic:blipFill>
                    <a:blip r:embed="rId13"/>
                    <a:stretch>
                      <a:fillRect/>
                    </a:stretch>
                  </pic:blipFill>
                  <pic:spPr>
                    <a:xfrm>
                      <a:off x="0" y="0"/>
                      <a:ext cx="5394960" cy="2449505"/>
                    </a:xfrm>
                    <a:prstGeom prst="rect"/>
                  </pic:spPr>
                </pic:pic>
              </a:graphicData>
            </a:graphic>
          </wp:inline>
        </w:drawing>
      </w:r>
    </w:p>
    <w:p>
      <w:pPr>
        <w:spacing w:before="40" w:after="160"/>
        <w:pBdr>
          <w:bottom w:val="single" w:sz="14" w:space="1" w:color="C6A04B"/>
        </w:pBdr>
      </w:pPr>
    </w:p>
    <w:p>
      <w:pPr>
        <w:pStyle w:val="Title"/>
      </w:pPr>
      <w:r>
        <w:t>Peripheral Topic Emails – Applied</w:t>
      </w:r>
    </w:p>
    <w:p>
      <w:pPr>
        <w:pStyle w:val="Subtitle"/>
      </w:pPr>
      <w:r>
        <w:t>Build Your Reader List While You Write</w:t>
      </w:r>
    </w:p>
    <w:p>
      <w:pPr>
        <w:pStyle w:val="CGBLeadParagraph"/>
        <w:ind w:left="792" w:right="792"/>
        <w:jc w:val="center"/>
      </w:pPr>
      <w:r>
        <w:t>Two worked examples showing how ideas related to a book’s topic can become engaging emails for readers.</w:t>
      </w:r>
    </w:p>
    <w:p>
      <w:pPr>
        <w:spacing w:before="480" w:after="80"/>
        <w:jc w:val="center"/>
      </w:pPr>
      <w:r>
        <w:rPr>
          <w:rFonts w:ascii="Libre Baskerville" w:hAnsi="Libre Baskerville"/>
          <w:i/>
          <w:color w:val="C6A04B"/>
          <w:sz w:val="22"/>
        </w:rPr>
        <w:t>A Create Great Books Course Resource</w:t>
      </w:r>
    </w:p>
    <w:p>
      <w:r>
        <w:br w:type="page"/>
      </w:r>
    </w:p>
    <w:p>
      <w:pPr>
        <w:pStyle w:val="Heading1"/>
        <w:keepNext/>
      </w:pPr>
      <w:r>
        <w:t>Example 1</w:t>
      </w:r>
    </w:p>
    <w:p>
      <w:pPr>
        <w:pStyle w:val="Heading2"/>
        <w:keepNext/>
      </w:pPr>
      <w:r>
        <w:t>“Gospel Quote Observation”</w:t>
      </w:r>
    </w:p>
    <w:tbl>
      <w:tblPr>
        <w:tblW w:type="dxa" w:w="9576"/>
        <w:jc w:val="center"/>
        <w:tblLook w:firstColumn="1" w:firstRow="1" w:lastColumn="0" w:lastRow="0" w:noHBand="0" w:noVBand="1" w:val="04A0"/>
        <w:tblBorders>
          <w:top w:val="single" w:sz="8" w:space="0" w:color="C6A04B"/>
          <w:left w:val="single" w:sz="8" w:space="0" w:color="C6A04B"/>
          <w:bottom w:val="single" w:sz="8" w:space="0" w:color="C6A04B"/>
          <w:right w:val="single" w:sz="8" w:space="0" w:color="C6A04B"/>
        </w:tblBorders>
      </w:tblPr>
      <w:tblGrid>
        <w:gridCol w:w="9706"/>
      </w:tblGrid>
      <w:tr>
        <w:trPr>
          <w:cantSplit/>
        </w:trPr>
        <w:tc>
          <w:tcPr>
            <w:tcW w:type="dxa" w:w="9706"/>
            <w:shd w:fill="FBF7EC" w:val="clear"/>
            <w:tcMar>
              <w:top w:w="130" w:type="dxa"/>
              <w:start w:w="185" w:type="dxa"/>
              <w:bottom w:w="130" w:type="dxa"/>
              <w:end w:w="185" w:type="dxa"/>
            </w:tcMar>
            <w:vAlign w:val="top"/>
          </w:tcPr>
          <w:p>
            <w:pPr>
              <w:spacing w:after="120"/>
            </w:pPr>
            <w:r>
              <w:rPr>
                <w:b/>
                <w:i w:val="0"/>
              </w:rPr>
              <w:t>Subject: One Small Detail About the Gospels That Fascinated Me</w:t>
            </w:r>
          </w:p>
          <w:p>
            <w:pPr>
              <w:spacing w:after="120"/>
            </w:pPr>
            <w:r>
              <w:rPr>
                <w:b w:val="0"/>
                <w:i w:val="0"/>
              </w:rPr>
              <w:t xml:space="preserve">While studying biblical communication and audience differences for </w:t>
            </w:r>
            <w:r>
              <w:rPr>
                <w:b w:val="0"/>
                <w:i/>
              </w:rPr>
              <w:t>Walking in Word of Wisdom</w:t>
            </w:r>
            <w:r>
              <w:rPr>
                <w:b w:val="0"/>
                <w:i w:val="0"/>
              </w:rPr>
              <w:t>, I found myself thinking about something fascinating regarding the Gospel accounts.</w:t>
            </w:r>
          </w:p>
          <w:p>
            <w:pPr>
              <w:spacing w:after="120"/>
            </w:pPr>
            <w:r>
              <w:rPr>
                <w:b w:val="0"/>
                <w:i w:val="0"/>
              </w:rPr>
              <w:t>Ancient Greek did not use quotation marks the way modern English does.</w:t>
            </w:r>
          </w:p>
          <w:p>
            <w:pPr>
              <w:spacing w:after="120"/>
            </w:pPr>
            <w:r>
              <w:rPr>
                <w:b w:val="0"/>
                <w:i w:val="0"/>
              </w:rPr>
              <w:t>That means two authors could present the same teaching differently while still faithfully communicating the meaning.</w:t>
            </w:r>
          </w:p>
          <w:p>
            <w:pPr>
              <w:spacing w:after="120"/>
            </w:pPr>
            <w:r>
              <w:rPr>
                <w:b w:val="0"/>
                <w:i w:val="0"/>
              </w:rPr>
              <w:t>What becomes especially interesting is how Matthew and Luke appear to approach this differently at times.</w:t>
            </w:r>
          </w:p>
          <w:p>
            <w:pPr>
              <w:spacing w:after="120"/>
            </w:pPr>
            <w:r>
              <w:rPr>
                <w:b w:val="0"/>
                <w:i w:val="0"/>
              </w:rPr>
              <w:t>Matthew writes primarily to Jewish readers who already understood the symbols, references, and Old Testament patterns surrounding many teachings. Luke, however, often writes with additional explanation for Gentile readers or Jews outside Israel who may not immediately recognize those same connections.</w:t>
            </w:r>
          </w:p>
          <w:p>
            <w:pPr>
              <w:spacing w:after="120"/>
            </w:pPr>
            <w:r>
              <w:rPr>
                <w:b w:val="0"/>
                <w:i w:val="0"/>
              </w:rPr>
              <w:t>In other words, one author may emphasize exact wording while another emphasizes communicated meaning and understanding for a different audience.</w:t>
            </w:r>
          </w:p>
          <w:p>
            <w:pPr>
              <w:spacing w:after="0"/>
            </w:pPr>
            <w:r>
              <w:rPr>
                <w:b w:val="0"/>
                <w:i w:val="0"/>
              </w:rPr>
              <w:t>The more I study audience and communication in Scripture, the more I realize how much wisdom is involved not only in what is said, but how it is communicated to different people.</w:t>
            </w:r>
          </w:p>
        </w:tc>
      </w:tr>
    </w:tbl>
    <w:p>
      <w:r>
        <w:br w:type="page"/>
      </w:r>
    </w:p>
    <w:p>
      <w:pPr>
        <w:pStyle w:val="Heading1"/>
        <w:keepNext/>
      </w:pPr>
      <w:r>
        <w:t>Example 2</w:t>
      </w:r>
    </w:p>
    <w:p>
      <w:pPr>
        <w:pStyle w:val="Heading2"/>
        <w:keepNext/>
      </w:pPr>
      <w:r>
        <w:t>“Joseph’s Administrative Structure”</w:t>
      </w:r>
    </w:p>
    <w:tbl>
      <w:tblPr>
        <w:tblW w:type="dxa" w:w="9576"/>
        <w:jc w:val="center"/>
        <w:tblLook w:firstColumn="1" w:firstRow="1" w:lastColumn="0" w:lastRow="0" w:noHBand="0" w:noVBand="1" w:val="04A0"/>
        <w:tblBorders>
          <w:top w:val="single" w:sz="8" w:space="0" w:color="C6A04B"/>
          <w:left w:val="single" w:sz="8" w:space="0" w:color="C6A04B"/>
          <w:bottom w:val="single" w:sz="8" w:space="0" w:color="C6A04B"/>
          <w:right w:val="single" w:sz="8" w:space="0" w:color="C6A04B"/>
        </w:tblBorders>
      </w:tblPr>
      <w:tblGrid>
        <w:gridCol w:w="9706"/>
      </w:tblGrid>
      <w:tr>
        <w:trPr>
          <w:cantSplit/>
        </w:trPr>
        <w:tc>
          <w:tcPr>
            <w:tcW w:type="dxa" w:w="9706"/>
            <w:shd w:fill="FBF7EC" w:val="clear"/>
            <w:tcMar>
              <w:top w:w="130" w:type="dxa"/>
              <w:start w:w="185" w:type="dxa"/>
              <w:bottom w:w="130" w:type="dxa"/>
              <w:end w:w="185" w:type="dxa"/>
            </w:tcMar>
            <w:vAlign w:val="top"/>
          </w:tcPr>
          <w:p>
            <w:pPr>
              <w:spacing w:after="120"/>
            </w:pPr>
            <w:r>
              <w:rPr>
                <w:b/>
                <w:i w:val="0"/>
              </w:rPr>
              <w:t>Subject: One Small Detail I Almost Overlooked</w:t>
            </w:r>
          </w:p>
          <w:p>
            <w:pPr>
              <w:spacing w:after="120"/>
            </w:pPr>
            <w:r>
              <w:rPr>
                <w:b w:val="0"/>
                <w:i w:val="0"/>
              </w:rPr>
              <w:t>One thing I almost overlooked while studying Joseph’s story is how much administrative structure was involved in the wisdom God gave him.</w:t>
            </w:r>
          </w:p>
          <w:p>
            <w:pPr>
              <w:spacing w:after="120"/>
            </w:pPr>
            <w:r>
              <w:rPr>
                <w:b w:val="0"/>
                <w:i w:val="0"/>
              </w:rPr>
              <w:t>We often focus on the revelation:</w:t>
            </w:r>
            <w:r>
              <w:br/>
            </w:r>
            <w:r>
              <w:rPr>
                <w:b w:val="0"/>
                <w:i w:val="0"/>
              </w:rPr>
              <w:t>seven years of plenty,</w:t>
            </w:r>
            <w:r>
              <w:br/>
            </w:r>
            <w:r>
              <w:rPr>
                <w:b w:val="0"/>
                <w:i w:val="0"/>
              </w:rPr>
              <w:t>seven years of famine.</w:t>
            </w:r>
          </w:p>
          <w:p>
            <w:pPr>
              <w:spacing w:after="120"/>
            </w:pPr>
            <w:r>
              <w:rPr>
                <w:b w:val="0"/>
                <w:i w:val="0"/>
              </w:rPr>
              <w:t>We then focus on the wisdom he provided to Pharoah to execute a plan to combat the famine.</w:t>
            </w:r>
          </w:p>
          <w:p>
            <w:pPr>
              <w:spacing w:after="120"/>
            </w:pPr>
            <w:r>
              <w:rPr>
                <w:b w:val="0"/>
                <w:i w:val="0"/>
              </w:rPr>
              <w:t>But that word of wisdom was not the end. Joseph’s solution involved:</w:t>
            </w:r>
            <w:r>
              <w:br/>
            </w:r>
            <w:r>
              <w:rPr>
                <w:b w:val="0"/>
                <w:i w:val="0"/>
              </w:rPr>
              <w:t>organization,</w:t>
            </w:r>
            <w:r>
              <w:br/>
            </w:r>
            <w:r>
              <w:rPr>
                <w:b w:val="0"/>
                <w:i w:val="0"/>
              </w:rPr>
              <w:t>leadership,</w:t>
            </w:r>
            <w:r>
              <w:br/>
            </w:r>
            <w:r>
              <w:rPr>
                <w:b w:val="0"/>
                <w:i w:val="0"/>
              </w:rPr>
              <w:t>storage,</w:t>
            </w:r>
            <w:r>
              <w:br/>
            </w:r>
            <w:r>
              <w:rPr>
                <w:b w:val="0"/>
                <w:i w:val="0"/>
              </w:rPr>
              <w:t>distribution,</w:t>
            </w:r>
            <w:r>
              <w:br/>
            </w:r>
            <w:r>
              <w:rPr>
                <w:b w:val="0"/>
                <w:i w:val="0"/>
              </w:rPr>
              <w:t>timing,</w:t>
            </w:r>
            <w:r>
              <w:br/>
            </w:r>
            <w:r>
              <w:rPr>
                <w:b w:val="0"/>
                <w:i w:val="0"/>
              </w:rPr>
              <w:t>and long-term planning.</w:t>
            </w:r>
          </w:p>
          <w:p>
            <w:pPr>
              <w:spacing w:after="120"/>
            </w:pPr>
            <w:r>
              <w:rPr>
                <w:b w:val="0"/>
                <w:i w:val="0"/>
              </w:rPr>
              <w:t>The word of wisdom started the process. But this spiritual insight was not disconnected from practical reality. After the word of wisdom was given, natural wisdom had to follow. That natural wisdom involved systems, structure, and implementation.</w:t>
            </w:r>
          </w:p>
          <w:p>
            <w:pPr>
              <w:spacing w:after="0"/>
            </w:pPr>
            <w:r>
              <w:rPr>
                <w:b w:val="0"/>
                <w:i w:val="0"/>
              </w:rPr>
              <w:t>That small observation has affected the way I think about the Word of Wisdom far more than I originally expected.</w:t>
            </w:r>
          </w:p>
        </w:tc>
      </w:tr>
    </w:tbl>
    <w:sectPr w:rsidR="00FC693F" w:rsidRPr="0006063C" w:rsidSect="00034616">
      <w:headerReference w:type="default" r:id="rId9"/>
      <w:headerReference w:type="first" r:id="rId10"/>
      <w:footerReference w:type="default" r:id="rId11"/>
      <w:footerReference w:type="first" r:id="rId12"/>
      <w:pgSz w:w="12240" w:h="15840"/>
      <w:pgMar w:top="979" w:right="1267" w:bottom="979" w:left="1267"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3024"/>
      <w:gridCol w:w="5256"/>
      <w:gridCol w:w="1426"/>
    </w:tblGrid>
    <w:tr>
      <w:tc>
        <w:tcPr>
          <w:tcW w:type="dxa" w:w="3024"/>
          <w:tcBorders>
            <w:top w:val="single" w:sz="6" w:color="D9DEE3"/>
          </w:tcBorders>
        </w:tcPr>
        <w:p>
          <w:pPr>
            <w:jc w:val="left"/>
          </w:pPr>
          <w:r>
            <w:rPr>
              <w:rFonts w:ascii="Aptos" w:hAnsi="Aptos"/>
              <w:b/>
              <w:color w:val="082B52"/>
              <w:sz w:val="17"/>
            </w:rPr>
            <w:t>Create Great Books</w:t>
          </w:r>
        </w:p>
      </w:tc>
      <w:tc>
        <w:tcPr>
          <w:tcW w:type="dxa" w:w="5256"/>
          <w:tcBorders>
            <w:top w:val="single" w:sz="6" w:color="D9DEE3"/>
          </w:tcBorders>
        </w:tcPr>
        <w:p>
          <w:pPr>
            <w:jc w:val="center"/>
          </w:pPr>
          <w:r>
            <w:rPr>
              <w:rFonts w:ascii="Aptos" w:hAnsi="Aptos"/>
              <w:color w:val="666666"/>
              <w:sz w:val="16"/>
            </w:rPr>
            <w:t>© 2026 Create Great Books. All rights reserved.</w:t>
          </w:r>
        </w:p>
      </w:tc>
      <w:tc>
        <w:tcPr>
          <w:tcW w:type="dxa" w:w="1426"/>
          <w:tcBorders>
            <w:top w:val="single" w:sz="6" w:color="D9DEE3"/>
          </w:tcBorders>
        </w:tcPr>
        <w:p>
          <w:pPr>
            <w:jc w:val="right"/>
          </w:pPr>
          <w:r>
            <w:rPr>
              <w:rFonts w:ascii="Aptos" w:hAnsi="Aptos"/>
              <w:color w:val="666666"/>
              <w:sz w:val="17"/>
            </w:rPr>
            <w:t xml:space="preserve">Page </w:t>
          </w:r>
          <w:r>
            <w:rPr>
              <w:rFonts w:ascii="Aptos" w:hAnsi="Aptos"/>
              <w:color w:val="666666"/>
              <w:sz w:val="17"/>
            </w:rPr>
            <w:fldChar w:fldCharType="begin"/>
            <w:instrText xml:space="preserve">PAGE</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4" w:color="D9DEE3"/>
      </w:pBdr>
    </w:pPr>
    <w:r>
      <w:rPr>
        <w:rFonts w:ascii="Aptos" w:hAnsi="Aptos"/>
        <w:color w:val="666666"/>
        <w:sz w:val="15"/>
      </w:rPr>
      <w:t>© 2026 Create Great Books. All rights reserved. For the personal use of the enrolled course member. Not for redistribution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936"/>
      <w:gridCol w:w="8770"/>
    </w:tblGrid>
    <w:tr>
      <w:tc>
        <w:tcPr>
          <w:tcW w:type="dxa" w:w="936"/>
          <w:tcBorders>
            <w:bottom w:val="single" w:sz="8" w:color="C6A04B"/>
          </w:tcBorders>
        </w:tcPr>
        <w:p>
          <w:pPr>
            <w:jc w:val="left"/>
          </w:pPr>
          <w:r>
            <w:drawing>
              <wp:inline xmlns:a="http://schemas.openxmlformats.org/drawingml/2006/main" xmlns:pic="http://schemas.openxmlformats.org/drawingml/2006/picture">
                <wp:extent cx="365760" cy="295737"/>
                <wp:docPr id="1" name="Picture 1" title="Create Great Books logo" descr="Open book and pen-nib Create Great Books logo."/>
                <wp:cNvGraphicFramePr>
                  <a:graphicFrameLocks noChangeAspect="1"/>
                </wp:cNvGraphicFramePr>
                <a:graphic>
                  <a:graphicData uri="http://schemas.openxmlformats.org/drawingml/2006/picture">
                    <pic:pic>
                      <pic:nvPicPr>
                        <pic:cNvPr id="0" name=".cgb_icon_logo.png"/>
                        <pic:cNvPicPr/>
                      </pic:nvPicPr>
                      <pic:blipFill>
                        <a:blip r:embed="rId1"/>
                        <a:stretch>
                          <a:fillRect/>
                        </a:stretch>
                      </pic:blipFill>
                      <pic:spPr>
                        <a:xfrm>
                          <a:off x="0" y="0"/>
                          <a:ext cx="365760" cy="295737"/>
                        </a:xfrm>
                        <a:prstGeom prst="rect"/>
                      </pic:spPr>
                    </pic:pic>
                  </a:graphicData>
                </a:graphic>
              </wp:inline>
            </w:drawing>
          </w:r>
        </w:p>
      </w:tc>
      <w:tc>
        <w:tcPr>
          <w:tcW w:type="dxa" w:w="8770"/>
          <w:tcBorders>
            <w:bottom w:val="single" w:sz="8" w:color="C6A04B"/>
          </w:tcBorders>
        </w:tcPr>
        <w:p>
          <w:pPr>
            <w:jc w:val="right"/>
          </w:pPr>
          <w:r>
            <w:rPr>
              <w:rFonts w:ascii="Aptos" w:hAnsi="Aptos"/>
              <w:b/>
              <w:color w:val="082B52"/>
              <w:sz w:val="17"/>
            </w:rPr>
            <w:t>BUILD YOUR READER LIST WHILE YOU WRITE</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Libre Baskerville" w:hAnsi="Libre Baskerville"/>
      <w:b w:val="0"/>
      <w:bCs/>
      <w:color w:val="082B52"/>
      <w:sz w:val="36"/>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Libre Baskerville" w:hAnsi="Libre Baskerville"/>
      <w:b w:val="0"/>
      <w:bCs/>
      <w:color w:val="082B52"/>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C6A04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120"/>
      <w:contextualSpacing/>
      <w:jc w:val="center"/>
    </w:pPr>
    <w:rPr>
      <w:rFonts w:asciiTheme="majorHAnsi" w:eastAsiaTheme="majorEastAsia" w:hAnsiTheme="majorHAnsi" w:cstheme="majorBidi" w:ascii="Libre Baskerville" w:hAnsi="Libre Baskerville"/>
      <w:b w:val="0"/>
      <w:color w:val="082B52"/>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jc w:val="center"/>
    </w:pPr>
    <w:rPr>
      <w:rFonts w:asciiTheme="majorHAnsi" w:eastAsiaTheme="majorEastAsia" w:hAnsiTheme="majorHAnsi" w:cstheme="majorBidi" w:ascii="Aptos" w:hAnsi="Aptos"/>
      <w:i/>
      <w:iCs/>
      <w:color w:val="C6A04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color w:val="222222"/>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color w:val="222222"/>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20" w:after="160"/>
      <w:ind w:left="504" w:right="504"/>
    </w:pPr>
    <w:rPr>
      <w:rFonts w:ascii="Libre Baskerville" w:hAnsi="Libre Baskerville"/>
      <w:i/>
      <w:iCs/>
      <w:color w:val="082B52"/>
      <w:sz w:val="23"/>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mplateGuidance">
    <w:name w:val="Template Guidance"/>
    <w:pPr>
      <w:spacing w:after="100"/>
    </w:pPr>
    <w:rPr>
      <w:rFonts w:ascii="Aptos" w:hAnsi="Aptos"/>
      <w:i/>
      <w:color w:val="666666"/>
      <w:sz w:val="17"/>
    </w:rPr>
  </w:style>
  <w:style w:type="paragraph" w:customStyle="1" w:styleId="CGBLeadParagraph">
    <w:name w:val="CGB Lead Paragraph"/>
    <w:pPr>
      <w:spacing w:after="160" w:line="269" w:lineRule="auto"/>
    </w:pPr>
    <w:rPr>
      <w:rFonts w:ascii="Aptos" w:hAnsi="Aptos"/>
      <w:color w:val="333333"/>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Peripheral Topic Emails – Applied</dc:title>
  <dc:subject>Build Your Reader List While You Write course resource</dc:subject>
  <dc:creator>Create Great Books</dc:creator>
  <cp:keywords>Create Great Books, Build Your Reader List While You Write, peripheral emails, reader emails, email examples</cp:keywords>
  <dc:description>Course resource master file</dc:description>
  <cp:lastModifiedBy/>
  <cp:revision>1</cp:revision>
  <dcterms:created xsi:type="dcterms:W3CDTF">2013-12-23T23:15:00Z</dcterms:created>
  <dcterms:modified xsi:type="dcterms:W3CDTF">2013-12-23T23:15:00Z</dcterms:modified>
  <cp:category/>
</cp:coreProperties>
</file>